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BF" w:firstRow="1" w:lastRow="0" w:firstColumn="1" w:lastColumn="0" w:noHBand="0" w:noVBand="0"/>
      </w:tblPr>
      <w:tblGrid>
        <w:gridCol w:w="4649"/>
        <w:gridCol w:w="4648"/>
        <w:gridCol w:w="4645"/>
      </w:tblGrid>
      <w:tr w:rsidR="008926D0" w14:paraId="3D156CDB" w14:textId="77777777" w:rsidTr="008926D0">
        <w:tc>
          <w:tcPr>
            <w:tcW w:w="1667" w:type="pct"/>
            <w:tcBorders>
              <w:top w:val="single" w:sz="6" w:space="0" w:color="auto"/>
              <w:left w:val="single" w:sz="6" w:space="0" w:color="auto"/>
              <w:bottom w:val="single" w:sz="6" w:space="0" w:color="auto"/>
              <w:right w:val="single" w:sz="6" w:space="0" w:color="auto"/>
            </w:tcBorders>
          </w:tcPr>
          <w:p w14:paraId="266292B9" w14:textId="77777777" w:rsidR="008926D0" w:rsidRDefault="008926D0">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Year</w:t>
            </w:r>
          </w:p>
        </w:tc>
        <w:tc>
          <w:tcPr>
            <w:tcW w:w="1667" w:type="pct"/>
            <w:tcBorders>
              <w:top w:val="single" w:sz="6" w:space="0" w:color="auto"/>
              <w:left w:val="single" w:sz="6" w:space="0" w:color="auto"/>
              <w:bottom w:val="single" w:sz="6" w:space="0" w:color="auto"/>
              <w:right w:val="single" w:sz="6" w:space="0" w:color="auto"/>
            </w:tcBorders>
          </w:tcPr>
          <w:p w14:paraId="2EA393C2" w14:textId="77777777" w:rsidR="008926D0" w:rsidRDefault="008926D0">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Action Number</w:t>
            </w:r>
          </w:p>
        </w:tc>
        <w:tc>
          <w:tcPr>
            <w:tcW w:w="1666" w:type="pct"/>
            <w:tcBorders>
              <w:top w:val="single" w:sz="6" w:space="0" w:color="auto"/>
              <w:left w:val="single" w:sz="6" w:space="0" w:color="auto"/>
              <w:bottom w:val="single" w:sz="6" w:space="0" w:color="auto"/>
              <w:right w:val="single" w:sz="6" w:space="0" w:color="auto"/>
            </w:tcBorders>
          </w:tcPr>
          <w:p w14:paraId="54683711" w14:textId="77777777" w:rsidR="008926D0" w:rsidRDefault="008926D0">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Action</w:t>
            </w:r>
          </w:p>
        </w:tc>
      </w:tr>
      <w:tr w:rsidR="008926D0" w14:paraId="3298EB23" w14:textId="77777777" w:rsidTr="008926D0">
        <w:tc>
          <w:tcPr>
            <w:tcW w:w="1667" w:type="pct"/>
            <w:tcBorders>
              <w:top w:val="single" w:sz="6" w:space="0" w:color="auto"/>
              <w:left w:val="single" w:sz="6" w:space="0" w:color="auto"/>
              <w:bottom w:val="single" w:sz="6" w:space="0" w:color="auto"/>
              <w:right w:val="single" w:sz="6" w:space="0" w:color="auto"/>
            </w:tcBorders>
          </w:tcPr>
          <w:p w14:paraId="79FDD3B0"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19AF07B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66a(</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 xml:space="preserve">) </w:t>
            </w:r>
          </w:p>
        </w:tc>
        <w:tc>
          <w:tcPr>
            <w:tcW w:w="1666" w:type="pct"/>
            <w:tcBorders>
              <w:top w:val="single" w:sz="6" w:space="0" w:color="auto"/>
              <w:left w:val="single" w:sz="6" w:space="0" w:color="auto"/>
              <w:bottom w:val="single" w:sz="6" w:space="0" w:color="auto"/>
              <w:right w:val="single" w:sz="6" w:space="0" w:color="auto"/>
            </w:tcBorders>
          </w:tcPr>
          <w:p w14:paraId="6AC8C0CA"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Monitor and review successive carbon tax increases as legislated in the 2020 Finance Act </w:t>
            </w:r>
          </w:p>
        </w:tc>
      </w:tr>
      <w:tr w:rsidR="008926D0" w14:paraId="7110DF4E" w14:textId="77777777" w:rsidTr="008926D0">
        <w:tc>
          <w:tcPr>
            <w:tcW w:w="1667" w:type="pct"/>
            <w:tcBorders>
              <w:top w:val="single" w:sz="6" w:space="0" w:color="auto"/>
              <w:left w:val="single" w:sz="6" w:space="0" w:color="auto"/>
              <w:bottom w:val="single" w:sz="6" w:space="0" w:color="auto"/>
              <w:right w:val="single" w:sz="6" w:space="0" w:color="auto"/>
            </w:tcBorders>
          </w:tcPr>
          <w:p w14:paraId="2F816AF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12F169F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66c </w:t>
            </w:r>
          </w:p>
        </w:tc>
        <w:tc>
          <w:tcPr>
            <w:tcW w:w="1666" w:type="pct"/>
            <w:tcBorders>
              <w:top w:val="single" w:sz="6" w:space="0" w:color="auto"/>
              <w:left w:val="single" w:sz="6" w:space="0" w:color="auto"/>
              <w:bottom w:val="single" w:sz="6" w:space="0" w:color="auto"/>
              <w:right w:val="single" w:sz="6" w:space="0" w:color="auto"/>
            </w:tcBorders>
          </w:tcPr>
          <w:p w14:paraId="527BC3BC"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Contract the ESRI to undertake research under the Joint Research Programme Paper on sectoral and household impacts of carbon tax trajectory </w:t>
            </w:r>
          </w:p>
        </w:tc>
      </w:tr>
      <w:tr w:rsidR="008926D0" w14:paraId="6470BCDD" w14:textId="77777777" w:rsidTr="008926D0">
        <w:tc>
          <w:tcPr>
            <w:tcW w:w="1667" w:type="pct"/>
            <w:tcBorders>
              <w:top w:val="single" w:sz="6" w:space="0" w:color="auto"/>
              <w:left w:val="single" w:sz="6" w:space="0" w:color="auto"/>
              <w:bottom w:val="single" w:sz="6" w:space="0" w:color="auto"/>
              <w:right w:val="single" w:sz="6" w:space="0" w:color="auto"/>
            </w:tcBorders>
          </w:tcPr>
          <w:p w14:paraId="2F53B5A3"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396C0342"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67a(ii) </w:t>
            </w:r>
          </w:p>
        </w:tc>
        <w:tc>
          <w:tcPr>
            <w:tcW w:w="1666" w:type="pct"/>
            <w:tcBorders>
              <w:top w:val="single" w:sz="6" w:space="0" w:color="auto"/>
              <w:left w:val="single" w:sz="6" w:space="0" w:color="auto"/>
              <w:bottom w:val="single" w:sz="6" w:space="0" w:color="auto"/>
              <w:right w:val="single" w:sz="6" w:space="0" w:color="auto"/>
            </w:tcBorders>
          </w:tcPr>
          <w:p w14:paraId="7FC5DB0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Consideration of </w:t>
            </w:r>
            <w:proofErr w:type="gramStart"/>
            <w:r>
              <w:rPr>
                <w:rFonts w:ascii="Tms Rmn" w:hAnsi="Tms Rmn" w:cs="Tms Rmn"/>
                <w:color w:val="000000"/>
                <w:kern w:val="0"/>
                <w:sz w:val="24"/>
                <w:szCs w:val="24"/>
              </w:rPr>
              <w:t>a number of</w:t>
            </w:r>
            <w:proofErr w:type="gramEnd"/>
            <w:r>
              <w:rPr>
                <w:rFonts w:ascii="Tms Rmn" w:hAnsi="Tms Rmn" w:cs="Tms Rmn"/>
                <w:color w:val="000000"/>
                <w:kern w:val="0"/>
                <w:sz w:val="24"/>
                <w:szCs w:val="24"/>
              </w:rPr>
              <w:t xml:space="preserve"> reforms to the taxation system under relevant tax heads from an environmental perspective </w:t>
            </w:r>
          </w:p>
        </w:tc>
      </w:tr>
      <w:tr w:rsidR="008926D0" w14:paraId="234D77EF" w14:textId="77777777" w:rsidTr="008926D0">
        <w:tc>
          <w:tcPr>
            <w:tcW w:w="1667" w:type="pct"/>
            <w:tcBorders>
              <w:top w:val="single" w:sz="6" w:space="0" w:color="auto"/>
              <w:left w:val="single" w:sz="6" w:space="0" w:color="auto"/>
              <w:bottom w:val="single" w:sz="6" w:space="0" w:color="auto"/>
              <w:right w:val="single" w:sz="6" w:space="0" w:color="auto"/>
            </w:tcBorders>
          </w:tcPr>
          <w:p w14:paraId="540A46F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29518C62"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70a </w:t>
            </w:r>
          </w:p>
        </w:tc>
        <w:tc>
          <w:tcPr>
            <w:tcW w:w="1666" w:type="pct"/>
            <w:tcBorders>
              <w:top w:val="single" w:sz="6" w:space="0" w:color="auto"/>
              <w:left w:val="single" w:sz="6" w:space="0" w:color="auto"/>
              <w:bottom w:val="single" w:sz="6" w:space="0" w:color="auto"/>
              <w:right w:val="single" w:sz="6" w:space="0" w:color="auto"/>
            </w:tcBorders>
          </w:tcPr>
          <w:p w14:paraId="388361D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Bring forward proposals to transpose EU Green Deal-related decisions in a timely manner </w:t>
            </w:r>
          </w:p>
        </w:tc>
      </w:tr>
      <w:tr w:rsidR="008926D0" w14:paraId="3E214F1C" w14:textId="77777777" w:rsidTr="008926D0">
        <w:tc>
          <w:tcPr>
            <w:tcW w:w="1667" w:type="pct"/>
            <w:tcBorders>
              <w:top w:val="single" w:sz="6" w:space="0" w:color="auto"/>
              <w:left w:val="single" w:sz="6" w:space="0" w:color="auto"/>
              <w:bottom w:val="single" w:sz="6" w:space="0" w:color="auto"/>
              <w:right w:val="single" w:sz="6" w:space="0" w:color="auto"/>
            </w:tcBorders>
          </w:tcPr>
          <w:p w14:paraId="6DFEC4D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61D27513"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70b </w:t>
            </w:r>
          </w:p>
        </w:tc>
        <w:tc>
          <w:tcPr>
            <w:tcW w:w="1666" w:type="pct"/>
            <w:tcBorders>
              <w:top w:val="single" w:sz="6" w:space="0" w:color="auto"/>
              <w:left w:val="single" w:sz="6" w:space="0" w:color="auto"/>
              <w:bottom w:val="single" w:sz="6" w:space="0" w:color="auto"/>
              <w:right w:val="single" w:sz="6" w:space="0" w:color="auto"/>
            </w:tcBorders>
          </w:tcPr>
          <w:p w14:paraId="61E2353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Engage to ensure best environmental outcomes in EU negotiations on revisions to Energy Tax Directive and on new Carbon Border Adjustment Mechanism proposal as part of Fit for 55 </w:t>
            </w:r>
            <w:proofErr w:type="gramStart"/>
            <w:r>
              <w:rPr>
                <w:rFonts w:ascii="Tms Rmn" w:hAnsi="Tms Rmn" w:cs="Tms Rmn"/>
                <w:color w:val="000000"/>
                <w:kern w:val="0"/>
                <w:sz w:val="24"/>
                <w:szCs w:val="24"/>
              </w:rPr>
              <w:t>package</w:t>
            </w:r>
            <w:proofErr w:type="gramEnd"/>
            <w:r>
              <w:rPr>
                <w:rFonts w:ascii="Tms Rmn" w:hAnsi="Tms Rmn" w:cs="Tms Rmn"/>
                <w:color w:val="000000"/>
                <w:kern w:val="0"/>
                <w:sz w:val="24"/>
                <w:szCs w:val="24"/>
              </w:rPr>
              <w:t xml:space="preserve"> </w:t>
            </w:r>
          </w:p>
        </w:tc>
      </w:tr>
      <w:tr w:rsidR="008926D0" w14:paraId="2AE69E09" w14:textId="77777777" w:rsidTr="008926D0">
        <w:tc>
          <w:tcPr>
            <w:tcW w:w="1667" w:type="pct"/>
            <w:tcBorders>
              <w:top w:val="single" w:sz="6" w:space="0" w:color="auto"/>
              <w:left w:val="single" w:sz="6" w:space="0" w:color="auto"/>
              <w:bottom w:val="single" w:sz="6" w:space="0" w:color="auto"/>
              <w:right w:val="single" w:sz="6" w:space="0" w:color="auto"/>
            </w:tcBorders>
          </w:tcPr>
          <w:p w14:paraId="1EE4B8D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4794F25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70 </w:t>
            </w:r>
          </w:p>
        </w:tc>
        <w:tc>
          <w:tcPr>
            <w:tcW w:w="1666" w:type="pct"/>
            <w:tcBorders>
              <w:top w:val="single" w:sz="6" w:space="0" w:color="auto"/>
              <w:left w:val="single" w:sz="6" w:space="0" w:color="auto"/>
              <w:bottom w:val="single" w:sz="6" w:space="0" w:color="auto"/>
              <w:right w:val="single" w:sz="6" w:space="0" w:color="auto"/>
            </w:tcBorders>
          </w:tcPr>
          <w:p w14:paraId="3822D232"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Undertake analysis and research on Green Budgeting </w:t>
            </w:r>
          </w:p>
        </w:tc>
      </w:tr>
      <w:tr w:rsidR="008926D0" w14:paraId="6B2061F5" w14:textId="77777777" w:rsidTr="008926D0">
        <w:tc>
          <w:tcPr>
            <w:tcW w:w="1667" w:type="pct"/>
            <w:tcBorders>
              <w:top w:val="single" w:sz="6" w:space="0" w:color="auto"/>
              <w:left w:val="single" w:sz="6" w:space="0" w:color="auto"/>
              <w:bottom w:val="single" w:sz="6" w:space="0" w:color="auto"/>
              <w:right w:val="single" w:sz="6" w:space="0" w:color="auto"/>
            </w:tcBorders>
          </w:tcPr>
          <w:p w14:paraId="6C4978E3"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59AF9074"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73a(</w:t>
            </w:r>
            <w:proofErr w:type="spellStart"/>
            <w:r>
              <w:rPr>
                <w:rFonts w:ascii="Tms Rmn" w:hAnsi="Tms Rmn" w:cs="Tms Rmn"/>
                <w:color w:val="000000"/>
                <w:kern w:val="0"/>
                <w:sz w:val="24"/>
                <w:szCs w:val="24"/>
              </w:rPr>
              <w:t>i</w:t>
            </w:r>
            <w:proofErr w:type="spellEnd"/>
            <w:r>
              <w:rPr>
                <w:rFonts w:ascii="Tms Rmn" w:hAnsi="Tms Rmn" w:cs="Tms Rmn"/>
                <w:color w:val="000000"/>
                <w:kern w:val="0"/>
                <w:sz w:val="24"/>
                <w:szCs w:val="24"/>
              </w:rPr>
              <w:t xml:space="preserve">) </w:t>
            </w:r>
          </w:p>
        </w:tc>
        <w:tc>
          <w:tcPr>
            <w:tcW w:w="1666" w:type="pct"/>
            <w:tcBorders>
              <w:top w:val="single" w:sz="6" w:space="0" w:color="auto"/>
              <w:left w:val="single" w:sz="6" w:space="0" w:color="auto"/>
              <w:bottom w:val="single" w:sz="6" w:space="0" w:color="auto"/>
              <w:right w:val="single" w:sz="6" w:space="0" w:color="auto"/>
            </w:tcBorders>
          </w:tcPr>
          <w:p w14:paraId="3F4592E0"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proofErr w:type="spellStart"/>
            <w:r>
              <w:rPr>
                <w:rFonts w:ascii="Tms Rmn" w:hAnsi="Tms Rmn" w:cs="Tms Rmn"/>
                <w:color w:val="000000"/>
                <w:kern w:val="0"/>
                <w:sz w:val="24"/>
                <w:szCs w:val="24"/>
              </w:rPr>
              <w:t>NewERA</w:t>
            </w:r>
            <w:proofErr w:type="spellEnd"/>
            <w:r>
              <w:rPr>
                <w:rFonts w:ascii="Tms Rmn" w:hAnsi="Tms Rmn" w:cs="Tms Rmn"/>
                <w:color w:val="000000"/>
                <w:kern w:val="0"/>
                <w:sz w:val="24"/>
                <w:szCs w:val="24"/>
              </w:rPr>
              <w:t xml:space="preserve"> will work with the commercial State companies, the Ireland Strategic Investment Fund, the Strategic Banking Corporation of Ireland, and other public bodies to mobilise private investment towards assisting in meeting our climate objectives </w:t>
            </w:r>
          </w:p>
        </w:tc>
      </w:tr>
      <w:tr w:rsidR="008926D0" w14:paraId="562B55A8" w14:textId="77777777" w:rsidTr="008926D0">
        <w:tc>
          <w:tcPr>
            <w:tcW w:w="1667" w:type="pct"/>
            <w:tcBorders>
              <w:top w:val="single" w:sz="6" w:space="0" w:color="auto"/>
              <w:left w:val="single" w:sz="6" w:space="0" w:color="auto"/>
              <w:bottom w:val="single" w:sz="6" w:space="0" w:color="auto"/>
              <w:right w:val="single" w:sz="6" w:space="0" w:color="auto"/>
            </w:tcBorders>
          </w:tcPr>
          <w:p w14:paraId="545AD1E3"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3B32E23C"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75 </w:t>
            </w:r>
          </w:p>
        </w:tc>
        <w:tc>
          <w:tcPr>
            <w:tcW w:w="1666" w:type="pct"/>
            <w:tcBorders>
              <w:top w:val="single" w:sz="6" w:space="0" w:color="auto"/>
              <w:left w:val="single" w:sz="6" w:space="0" w:color="auto"/>
              <w:bottom w:val="single" w:sz="6" w:space="0" w:color="auto"/>
              <w:right w:val="single" w:sz="6" w:space="0" w:color="auto"/>
            </w:tcBorders>
          </w:tcPr>
          <w:p w14:paraId="2A1DD970"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Promote the further development of the sustainable finance sector to facilitate increased investment in zero-emission sectors in Ireland </w:t>
            </w:r>
          </w:p>
        </w:tc>
      </w:tr>
      <w:tr w:rsidR="008926D0" w14:paraId="1F4BF221" w14:textId="77777777" w:rsidTr="008926D0">
        <w:tc>
          <w:tcPr>
            <w:tcW w:w="1667" w:type="pct"/>
            <w:tcBorders>
              <w:top w:val="single" w:sz="6" w:space="0" w:color="auto"/>
              <w:left w:val="single" w:sz="6" w:space="0" w:color="auto"/>
              <w:bottom w:val="single" w:sz="6" w:space="0" w:color="auto"/>
              <w:right w:val="single" w:sz="6" w:space="0" w:color="auto"/>
            </w:tcBorders>
          </w:tcPr>
          <w:p w14:paraId="5782022B"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319A1A4B"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76 </w:t>
            </w:r>
          </w:p>
        </w:tc>
        <w:tc>
          <w:tcPr>
            <w:tcW w:w="1666" w:type="pct"/>
            <w:tcBorders>
              <w:top w:val="single" w:sz="6" w:space="0" w:color="auto"/>
              <w:left w:val="single" w:sz="6" w:space="0" w:color="auto"/>
              <w:bottom w:val="single" w:sz="6" w:space="0" w:color="auto"/>
              <w:right w:val="single" w:sz="6" w:space="0" w:color="auto"/>
            </w:tcBorders>
          </w:tcPr>
          <w:p w14:paraId="7FEF6D95"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Consider opportunities for issuance of new Irish Sovereign Green Bonds, and monitor allocation and impact of funds raised through existing Irish Sovereign Green Bonds </w:t>
            </w:r>
          </w:p>
        </w:tc>
      </w:tr>
      <w:tr w:rsidR="008926D0" w14:paraId="32706BE9" w14:textId="77777777" w:rsidTr="008926D0">
        <w:tc>
          <w:tcPr>
            <w:tcW w:w="1667" w:type="pct"/>
            <w:tcBorders>
              <w:top w:val="single" w:sz="6" w:space="0" w:color="auto"/>
              <w:left w:val="single" w:sz="6" w:space="0" w:color="auto"/>
              <w:bottom w:val="single" w:sz="6" w:space="0" w:color="auto"/>
              <w:right w:val="single" w:sz="6" w:space="0" w:color="auto"/>
            </w:tcBorders>
          </w:tcPr>
          <w:p w14:paraId="3F949F59"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2021 </w:t>
            </w:r>
          </w:p>
        </w:tc>
        <w:tc>
          <w:tcPr>
            <w:tcW w:w="1667" w:type="pct"/>
            <w:tcBorders>
              <w:top w:val="single" w:sz="6" w:space="0" w:color="auto"/>
              <w:left w:val="single" w:sz="6" w:space="0" w:color="auto"/>
              <w:bottom w:val="single" w:sz="6" w:space="0" w:color="auto"/>
              <w:right w:val="single" w:sz="6" w:space="0" w:color="auto"/>
            </w:tcBorders>
          </w:tcPr>
          <w:p w14:paraId="43B1FE7C"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77 </w:t>
            </w:r>
          </w:p>
        </w:tc>
        <w:tc>
          <w:tcPr>
            <w:tcW w:w="1666" w:type="pct"/>
            <w:tcBorders>
              <w:top w:val="single" w:sz="6" w:space="0" w:color="auto"/>
              <w:left w:val="single" w:sz="6" w:space="0" w:color="auto"/>
              <w:bottom w:val="single" w:sz="6" w:space="0" w:color="auto"/>
              <w:right w:val="single" w:sz="6" w:space="0" w:color="auto"/>
            </w:tcBorders>
          </w:tcPr>
          <w:p w14:paraId="1E7CBD21"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Promote opportunities for EIB investment in relevant climate projects in Ireland through EIB Financing Ireland </w:t>
            </w:r>
          </w:p>
        </w:tc>
      </w:tr>
      <w:tr w:rsidR="008926D0" w14:paraId="5CE0DEDE" w14:textId="77777777" w:rsidTr="008926D0">
        <w:tc>
          <w:tcPr>
            <w:tcW w:w="1667" w:type="pct"/>
            <w:tcBorders>
              <w:top w:val="single" w:sz="6" w:space="0" w:color="auto"/>
              <w:left w:val="single" w:sz="6" w:space="0" w:color="auto"/>
              <w:bottom w:val="single" w:sz="6" w:space="0" w:color="auto"/>
              <w:right w:val="single" w:sz="6" w:space="0" w:color="auto"/>
            </w:tcBorders>
          </w:tcPr>
          <w:p w14:paraId="1DE8AA14"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01D1925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185 </w:t>
            </w:r>
          </w:p>
        </w:tc>
        <w:tc>
          <w:tcPr>
            <w:tcW w:w="1666" w:type="pct"/>
            <w:tcBorders>
              <w:top w:val="single" w:sz="6" w:space="0" w:color="auto"/>
              <w:left w:val="single" w:sz="6" w:space="0" w:color="auto"/>
              <w:bottom w:val="single" w:sz="6" w:space="0" w:color="auto"/>
              <w:right w:val="single" w:sz="6" w:space="0" w:color="auto"/>
            </w:tcBorders>
          </w:tcPr>
          <w:p w14:paraId="5FE7DB9C"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Strategic Banking Corporation of Ireland (SBCI) will assess potential options for an SME energy efficiency loan guarantee scheme to provide proof of concept and demonstrate market appetite. </w:t>
            </w:r>
          </w:p>
        </w:tc>
      </w:tr>
      <w:tr w:rsidR="008926D0" w14:paraId="74607A0F" w14:textId="77777777" w:rsidTr="008926D0">
        <w:tc>
          <w:tcPr>
            <w:tcW w:w="1667" w:type="pct"/>
            <w:tcBorders>
              <w:top w:val="single" w:sz="6" w:space="0" w:color="auto"/>
              <w:left w:val="single" w:sz="6" w:space="0" w:color="auto"/>
              <w:bottom w:val="single" w:sz="6" w:space="0" w:color="auto"/>
              <w:right w:val="single" w:sz="6" w:space="0" w:color="auto"/>
            </w:tcBorders>
          </w:tcPr>
          <w:p w14:paraId="39D2CA6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66ABD6D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220 </w:t>
            </w:r>
          </w:p>
        </w:tc>
        <w:tc>
          <w:tcPr>
            <w:tcW w:w="1666" w:type="pct"/>
            <w:tcBorders>
              <w:top w:val="single" w:sz="6" w:space="0" w:color="auto"/>
              <w:left w:val="single" w:sz="6" w:space="0" w:color="auto"/>
              <w:bottom w:val="single" w:sz="6" w:space="0" w:color="auto"/>
              <w:right w:val="single" w:sz="6" w:space="0" w:color="auto"/>
            </w:tcBorders>
          </w:tcPr>
          <w:p w14:paraId="695EC961"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Explore the potential for new tax measures to support retrofit </w:t>
            </w:r>
          </w:p>
        </w:tc>
      </w:tr>
      <w:tr w:rsidR="008926D0" w14:paraId="6CC00F5D" w14:textId="77777777" w:rsidTr="008926D0">
        <w:tc>
          <w:tcPr>
            <w:tcW w:w="1667" w:type="pct"/>
            <w:tcBorders>
              <w:top w:val="single" w:sz="6" w:space="0" w:color="auto"/>
              <w:left w:val="single" w:sz="6" w:space="0" w:color="auto"/>
              <w:bottom w:val="single" w:sz="6" w:space="0" w:color="auto"/>
              <w:right w:val="single" w:sz="6" w:space="0" w:color="auto"/>
            </w:tcBorders>
          </w:tcPr>
          <w:p w14:paraId="343779E6"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4F4C4E7C"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265a </w:t>
            </w:r>
          </w:p>
        </w:tc>
        <w:tc>
          <w:tcPr>
            <w:tcW w:w="1666" w:type="pct"/>
            <w:tcBorders>
              <w:top w:val="single" w:sz="6" w:space="0" w:color="auto"/>
              <w:left w:val="single" w:sz="6" w:space="0" w:color="auto"/>
              <w:bottom w:val="single" w:sz="6" w:space="0" w:color="auto"/>
              <w:right w:val="single" w:sz="6" w:space="0" w:color="auto"/>
            </w:tcBorders>
          </w:tcPr>
          <w:p w14:paraId="3D6BD466"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Review existing fossil fuel subsidies in transport sector </w:t>
            </w:r>
          </w:p>
        </w:tc>
      </w:tr>
      <w:tr w:rsidR="008926D0" w14:paraId="5EB208CA" w14:textId="77777777" w:rsidTr="008926D0">
        <w:tc>
          <w:tcPr>
            <w:tcW w:w="1667" w:type="pct"/>
            <w:tcBorders>
              <w:top w:val="single" w:sz="6" w:space="0" w:color="auto"/>
              <w:left w:val="single" w:sz="6" w:space="0" w:color="auto"/>
              <w:bottom w:val="single" w:sz="6" w:space="0" w:color="auto"/>
              <w:right w:val="single" w:sz="6" w:space="0" w:color="auto"/>
            </w:tcBorders>
          </w:tcPr>
          <w:p w14:paraId="1F1A5979"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50E74601"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265b </w:t>
            </w:r>
          </w:p>
        </w:tc>
        <w:tc>
          <w:tcPr>
            <w:tcW w:w="1666" w:type="pct"/>
            <w:tcBorders>
              <w:top w:val="single" w:sz="6" w:space="0" w:color="auto"/>
              <w:left w:val="single" w:sz="6" w:space="0" w:color="auto"/>
              <w:bottom w:val="single" w:sz="6" w:space="0" w:color="auto"/>
              <w:right w:val="single" w:sz="6" w:space="0" w:color="auto"/>
            </w:tcBorders>
          </w:tcPr>
          <w:p w14:paraId="53758667"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Adopt roadmap at Government level to transition away from fossil fuel subsidies </w:t>
            </w:r>
          </w:p>
        </w:tc>
      </w:tr>
      <w:tr w:rsidR="008926D0" w14:paraId="526275CC" w14:textId="77777777" w:rsidTr="008926D0">
        <w:tc>
          <w:tcPr>
            <w:tcW w:w="1667" w:type="pct"/>
            <w:tcBorders>
              <w:top w:val="single" w:sz="6" w:space="0" w:color="auto"/>
              <w:left w:val="single" w:sz="6" w:space="0" w:color="auto"/>
              <w:bottom w:val="single" w:sz="6" w:space="0" w:color="auto"/>
              <w:right w:val="single" w:sz="6" w:space="0" w:color="auto"/>
            </w:tcBorders>
          </w:tcPr>
          <w:p w14:paraId="6F081262"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23B6341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266 </w:t>
            </w:r>
          </w:p>
        </w:tc>
        <w:tc>
          <w:tcPr>
            <w:tcW w:w="1666" w:type="pct"/>
            <w:tcBorders>
              <w:top w:val="single" w:sz="6" w:space="0" w:color="auto"/>
              <w:left w:val="single" w:sz="6" w:space="0" w:color="auto"/>
              <w:bottom w:val="single" w:sz="6" w:space="0" w:color="auto"/>
              <w:right w:val="single" w:sz="6" w:space="0" w:color="auto"/>
            </w:tcBorders>
          </w:tcPr>
          <w:p w14:paraId="1FF9EF6A"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Examine options for the equalisation of diesel and petrol excise rates over an appropriate period </w:t>
            </w:r>
          </w:p>
        </w:tc>
      </w:tr>
      <w:tr w:rsidR="008926D0" w14:paraId="25D94488" w14:textId="77777777" w:rsidTr="008926D0">
        <w:tc>
          <w:tcPr>
            <w:tcW w:w="1667" w:type="pct"/>
            <w:tcBorders>
              <w:top w:val="single" w:sz="6" w:space="0" w:color="auto"/>
              <w:left w:val="single" w:sz="6" w:space="0" w:color="auto"/>
              <w:bottom w:val="single" w:sz="6" w:space="0" w:color="auto"/>
              <w:right w:val="single" w:sz="6" w:space="0" w:color="auto"/>
            </w:tcBorders>
          </w:tcPr>
          <w:p w14:paraId="264DE71B"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15A7C20A"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272a </w:t>
            </w:r>
          </w:p>
        </w:tc>
        <w:tc>
          <w:tcPr>
            <w:tcW w:w="1666" w:type="pct"/>
            <w:tcBorders>
              <w:top w:val="single" w:sz="6" w:space="0" w:color="auto"/>
              <w:left w:val="single" w:sz="6" w:space="0" w:color="auto"/>
              <w:bottom w:val="single" w:sz="6" w:space="0" w:color="auto"/>
              <w:right w:val="single" w:sz="6" w:space="0" w:color="auto"/>
            </w:tcBorders>
          </w:tcPr>
          <w:p w14:paraId="5FCBBB32"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Monitor and review recent vehicle tax reform </w:t>
            </w:r>
            <w:proofErr w:type="gramStart"/>
            <w:r>
              <w:rPr>
                <w:rFonts w:ascii="Tms Rmn" w:hAnsi="Tms Rmn" w:cs="Tms Rmn"/>
                <w:color w:val="000000"/>
                <w:kern w:val="0"/>
                <w:sz w:val="24"/>
                <w:szCs w:val="24"/>
              </w:rPr>
              <w:t>in light of</w:t>
            </w:r>
            <w:proofErr w:type="gramEnd"/>
            <w:r>
              <w:rPr>
                <w:rFonts w:ascii="Tms Rmn" w:hAnsi="Tms Rmn" w:cs="Tms Rmn"/>
                <w:color w:val="000000"/>
                <w:kern w:val="0"/>
                <w:sz w:val="24"/>
                <w:szCs w:val="24"/>
              </w:rPr>
              <w:t xml:space="preserve"> new emissions testing standards </w:t>
            </w:r>
          </w:p>
        </w:tc>
      </w:tr>
      <w:tr w:rsidR="008926D0" w14:paraId="102CEA57" w14:textId="77777777" w:rsidTr="008926D0">
        <w:tc>
          <w:tcPr>
            <w:tcW w:w="1667" w:type="pct"/>
            <w:tcBorders>
              <w:top w:val="single" w:sz="6" w:space="0" w:color="auto"/>
              <w:left w:val="single" w:sz="6" w:space="0" w:color="auto"/>
              <w:bottom w:val="single" w:sz="6" w:space="0" w:color="auto"/>
              <w:right w:val="single" w:sz="6" w:space="0" w:color="auto"/>
            </w:tcBorders>
          </w:tcPr>
          <w:p w14:paraId="1B26E74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3E846344"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272e </w:t>
            </w:r>
          </w:p>
        </w:tc>
        <w:tc>
          <w:tcPr>
            <w:tcW w:w="1666" w:type="pct"/>
            <w:tcBorders>
              <w:top w:val="single" w:sz="6" w:space="0" w:color="auto"/>
              <w:left w:val="single" w:sz="6" w:space="0" w:color="auto"/>
              <w:bottom w:val="single" w:sz="6" w:space="0" w:color="auto"/>
              <w:right w:val="single" w:sz="6" w:space="0" w:color="auto"/>
            </w:tcBorders>
          </w:tcPr>
          <w:p w14:paraId="77E10FE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Review zero-rate BIK for electric vehicles </w:t>
            </w:r>
          </w:p>
        </w:tc>
      </w:tr>
      <w:tr w:rsidR="008926D0" w14:paraId="40914521" w14:textId="77777777" w:rsidTr="008926D0">
        <w:tc>
          <w:tcPr>
            <w:tcW w:w="1667" w:type="pct"/>
            <w:tcBorders>
              <w:top w:val="single" w:sz="6" w:space="0" w:color="auto"/>
              <w:left w:val="single" w:sz="6" w:space="0" w:color="auto"/>
              <w:bottom w:val="single" w:sz="6" w:space="0" w:color="auto"/>
              <w:right w:val="single" w:sz="6" w:space="0" w:color="auto"/>
            </w:tcBorders>
          </w:tcPr>
          <w:p w14:paraId="2626CD2B"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3999C1F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272f </w:t>
            </w:r>
          </w:p>
        </w:tc>
        <w:tc>
          <w:tcPr>
            <w:tcW w:w="1666" w:type="pct"/>
            <w:tcBorders>
              <w:top w:val="single" w:sz="6" w:space="0" w:color="auto"/>
              <w:left w:val="single" w:sz="6" w:space="0" w:color="auto"/>
              <w:bottom w:val="single" w:sz="6" w:space="0" w:color="auto"/>
              <w:right w:val="single" w:sz="6" w:space="0" w:color="auto"/>
            </w:tcBorders>
          </w:tcPr>
          <w:p w14:paraId="5AB3D8C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Examine options for the introduction of an emissions based VRT and motor tax for LGVs and HGVs, taking account of the 10-year haulage strategy and other EU regulatory changes affecting the sector </w:t>
            </w:r>
          </w:p>
        </w:tc>
      </w:tr>
      <w:tr w:rsidR="008926D0" w14:paraId="771852AB" w14:textId="77777777" w:rsidTr="008926D0">
        <w:tc>
          <w:tcPr>
            <w:tcW w:w="1667" w:type="pct"/>
            <w:tcBorders>
              <w:top w:val="single" w:sz="6" w:space="0" w:color="auto"/>
              <w:left w:val="single" w:sz="6" w:space="0" w:color="auto"/>
              <w:bottom w:val="single" w:sz="6" w:space="0" w:color="auto"/>
              <w:right w:val="single" w:sz="6" w:space="0" w:color="auto"/>
            </w:tcBorders>
          </w:tcPr>
          <w:p w14:paraId="2015EB37"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03ED69DC"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272g </w:t>
            </w:r>
          </w:p>
        </w:tc>
        <w:tc>
          <w:tcPr>
            <w:tcW w:w="1666" w:type="pct"/>
            <w:tcBorders>
              <w:top w:val="single" w:sz="6" w:space="0" w:color="auto"/>
              <w:left w:val="single" w:sz="6" w:space="0" w:color="auto"/>
              <w:bottom w:val="single" w:sz="6" w:space="0" w:color="auto"/>
              <w:right w:val="single" w:sz="6" w:space="0" w:color="auto"/>
            </w:tcBorders>
          </w:tcPr>
          <w:p w14:paraId="4602DE56"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Introduce emissions-based BIK (benefit-in-kind) charging structure provided for in Finance Act 2019 </w:t>
            </w:r>
          </w:p>
        </w:tc>
      </w:tr>
      <w:tr w:rsidR="008926D0" w14:paraId="52EBB1CB" w14:textId="77777777" w:rsidTr="008926D0">
        <w:tc>
          <w:tcPr>
            <w:tcW w:w="1667" w:type="pct"/>
            <w:tcBorders>
              <w:top w:val="single" w:sz="6" w:space="0" w:color="auto"/>
              <w:left w:val="single" w:sz="6" w:space="0" w:color="auto"/>
              <w:bottom w:val="single" w:sz="6" w:space="0" w:color="auto"/>
              <w:right w:val="single" w:sz="6" w:space="0" w:color="auto"/>
            </w:tcBorders>
          </w:tcPr>
          <w:p w14:paraId="7B286A9F"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588F4361"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281c </w:t>
            </w:r>
          </w:p>
        </w:tc>
        <w:tc>
          <w:tcPr>
            <w:tcW w:w="1666" w:type="pct"/>
            <w:tcBorders>
              <w:top w:val="single" w:sz="6" w:space="0" w:color="auto"/>
              <w:left w:val="single" w:sz="6" w:space="0" w:color="auto"/>
              <w:bottom w:val="single" w:sz="6" w:space="0" w:color="auto"/>
              <w:right w:val="single" w:sz="6" w:space="0" w:color="auto"/>
            </w:tcBorders>
          </w:tcPr>
          <w:p w14:paraId="0B18D68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Review of taxation measures for EV and ICE commercial vehicles that could incentivize uptake of EV LGVs </w:t>
            </w:r>
          </w:p>
        </w:tc>
      </w:tr>
      <w:tr w:rsidR="008926D0" w14:paraId="514A39F8" w14:textId="77777777" w:rsidTr="008926D0">
        <w:tc>
          <w:tcPr>
            <w:tcW w:w="1667" w:type="pct"/>
            <w:tcBorders>
              <w:top w:val="single" w:sz="6" w:space="0" w:color="auto"/>
              <w:left w:val="single" w:sz="6" w:space="0" w:color="auto"/>
              <w:bottom w:val="single" w:sz="6" w:space="0" w:color="auto"/>
              <w:right w:val="single" w:sz="6" w:space="0" w:color="auto"/>
            </w:tcBorders>
          </w:tcPr>
          <w:p w14:paraId="3710990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2021 </w:t>
            </w:r>
          </w:p>
        </w:tc>
        <w:tc>
          <w:tcPr>
            <w:tcW w:w="1667" w:type="pct"/>
            <w:tcBorders>
              <w:top w:val="single" w:sz="6" w:space="0" w:color="auto"/>
              <w:left w:val="single" w:sz="6" w:space="0" w:color="auto"/>
              <w:bottom w:val="single" w:sz="6" w:space="0" w:color="auto"/>
              <w:right w:val="single" w:sz="6" w:space="0" w:color="auto"/>
            </w:tcBorders>
          </w:tcPr>
          <w:p w14:paraId="12CB8B0C"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287a </w:t>
            </w:r>
          </w:p>
        </w:tc>
        <w:tc>
          <w:tcPr>
            <w:tcW w:w="1666" w:type="pct"/>
            <w:tcBorders>
              <w:top w:val="single" w:sz="6" w:space="0" w:color="auto"/>
              <w:left w:val="single" w:sz="6" w:space="0" w:color="auto"/>
              <w:bottom w:val="single" w:sz="6" w:space="0" w:color="auto"/>
              <w:right w:val="single" w:sz="6" w:space="0" w:color="auto"/>
            </w:tcBorders>
          </w:tcPr>
          <w:p w14:paraId="25A1F53F"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Evaluate Section 285c of the Taxes Consolidation Act allowing for Capital Allowances for Gas Vehicles and refuelling equipment </w:t>
            </w:r>
          </w:p>
        </w:tc>
      </w:tr>
      <w:tr w:rsidR="008926D0" w14:paraId="03CC951A" w14:textId="77777777" w:rsidTr="008926D0">
        <w:tc>
          <w:tcPr>
            <w:tcW w:w="1667" w:type="pct"/>
            <w:tcBorders>
              <w:top w:val="single" w:sz="6" w:space="0" w:color="auto"/>
              <w:left w:val="single" w:sz="6" w:space="0" w:color="auto"/>
              <w:bottom w:val="single" w:sz="6" w:space="0" w:color="auto"/>
              <w:right w:val="single" w:sz="6" w:space="0" w:color="auto"/>
            </w:tcBorders>
          </w:tcPr>
          <w:p w14:paraId="279EAEE5"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2021 </w:t>
            </w:r>
          </w:p>
        </w:tc>
        <w:tc>
          <w:tcPr>
            <w:tcW w:w="1667" w:type="pct"/>
            <w:tcBorders>
              <w:top w:val="single" w:sz="6" w:space="0" w:color="auto"/>
              <w:left w:val="single" w:sz="6" w:space="0" w:color="auto"/>
              <w:bottom w:val="single" w:sz="6" w:space="0" w:color="auto"/>
              <w:right w:val="single" w:sz="6" w:space="0" w:color="auto"/>
            </w:tcBorders>
          </w:tcPr>
          <w:p w14:paraId="0DA84BD4"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450 </w:t>
            </w:r>
          </w:p>
        </w:tc>
        <w:tc>
          <w:tcPr>
            <w:tcW w:w="1666" w:type="pct"/>
            <w:tcBorders>
              <w:top w:val="single" w:sz="6" w:space="0" w:color="auto"/>
              <w:left w:val="single" w:sz="6" w:space="0" w:color="auto"/>
              <w:bottom w:val="single" w:sz="6" w:space="0" w:color="auto"/>
              <w:right w:val="single" w:sz="6" w:space="0" w:color="auto"/>
            </w:tcBorders>
          </w:tcPr>
          <w:p w14:paraId="0C71C62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Promote the development of the sustainable finance sector internationally, including preparing a Climate Finance Roadmap </w:t>
            </w:r>
          </w:p>
        </w:tc>
      </w:tr>
      <w:tr w:rsidR="008926D0" w14:paraId="09529652" w14:textId="77777777" w:rsidTr="008926D0">
        <w:tc>
          <w:tcPr>
            <w:tcW w:w="1667" w:type="pct"/>
            <w:tcBorders>
              <w:top w:val="single" w:sz="6" w:space="0" w:color="auto"/>
              <w:left w:val="single" w:sz="6" w:space="0" w:color="auto"/>
              <w:bottom w:val="single" w:sz="6" w:space="0" w:color="auto"/>
              <w:right w:val="single" w:sz="6" w:space="0" w:color="auto"/>
            </w:tcBorders>
          </w:tcPr>
          <w:p w14:paraId="5A80B75F"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667" w:type="pct"/>
            <w:tcBorders>
              <w:top w:val="single" w:sz="6" w:space="0" w:color="auto"/>
              <w:left w:val="single" w:sz="6" w:space="0" w:color="auto"/>
              <w:bottom w:val="single" w:sz="6" w:space="0" w:color="auto"/>
              <w:right w:val="single" w:sz="6" w:space="0" w:color="auto"/>
            </w:tcBorders>
          </w:tcPr>
          <w:p w14:paraId="1707A8C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BE/23/13 </w:t>
            </w:r>
          </w:p>
        </w:tc>
        <w:tc>
          <w:tcPr>
            <w:tcW w:w="1666" w:type="pct"/>
            <w:tcBorders>
              <w:top w:val="single" w:sz="6" w:space="0" w:color="auto"/>
              <w:left w:val="single" w:sz="6" w:space="0" w:color="auto"/>
              <w:bottom w:val="single" w:sz="6" w:space="0" w:color="auto"/>
              <w:right w:val="single" w:sz="6" w:space="0" w:color="auto"/>
            </w:tcBorders>
          </w:tcPr>
          <w:p w14:paraId="1BE3B2E4"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Introduce a new tax incentive to encourage small-scale landlords to undertake retrofitting works while tenant remains in situ</w:t>
            </w:r>
          </w:p>
        </w:tc>
      </w:tr>
      <w:tr w:rsidR="008926D0" w14:paraId="49CA4A61" w14:textId="77777777" w:rsidTr="008926D0">
        <w:tc>
          <w:tcPr>
            <w:tcW w:w="1667" w:type="pct"/>
            <w:tcBorders>
              <w:top w:val="single" w:sz="6" w:space="0" w:color="auto"/>
              <w:left w:val="single" w:sz="6" w:space="0" w:color="auto"/>
              <w:bottom w:val="single" w:sz="6" w:space="0" w:color="auto"/>
              <w:right w:val="single" w:sz="6" w:space="0" w:color="auto"/>
            </w:tcBorders>
          </w:tcPr>
          <w:p w14:paraId="405D71D3"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667" w:type="pct"/>
            <w:tcBorders>
              <w:top w:val="single" w:sz="6" w:space="0" w:color="auto"/>
              <w:left w:val="single" w:sz="6" w:space="0" w:color="auto"/>
              <w:bottom w:val="single" w:sz="6" w:space="0" w:color="auto"/>
              <w:right w:val="single" w:sz="6" w:space="0" w:color="auto"/>
            </w:tcBorders>
          </w:tcPr>
          <w:p w14:paraId="5BE481AB"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CP/23/1 </w:t>
            </w:r>
          </w:p>
        </w:tc>
        <w:tc>
          <w:tcPr>
            <w:tcW w:w="1666" w:type="pct"/>
            <w:tcBorders>
              <w:top w:val="single" w:sz="6" w:space="0" w:color="auto"/>
              <w:left w:val="single" w:sz="6" w:space="0" w:color="auto"/>
              <w:bottom w:val="single" w:sz="6" w:space="0" w:color="auto"/>
              <w:right w:val="single" w:sz="6" w:space="0" w:color="auto"/>
            </w:tcBorders>
          </w:tcPr>
          <w:p w14:paraId="684F6B0A"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Monitor and review the carbon tax increases as legislated in the 2020 Finance Act </w:t>
            </w:r>
          </w:p>
        </w:tc>
      </w:tr>
      <w:tr w:rsidR="008926D0" w14:paraId="0EEE29AD" w14:textId="77777777" w:rsidTr="008926D0">
        <w:tc>
          <w:tcPr>
            <w:tcW w:w="1667" w:type="pct"/>
            <w:tcBorders>
              <w:top w:val="single" w:sz="6" w:space="0" w:color="auto"/>
              <w:left w:val="single" w:sz="6" w:space="0" w:color="auto"/>
              <w:bottom w:val="single" w:sz="6" w:space="0" w:color="auto"/>
              <w:right w:val="single" w:sz="6" w:space="0" w:color="auto"/>
            </w:tcBorders>
          </w:tcPr>
          <w:p w14:paraId="70944CB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667" w:type="pct"/>
            <w:tcBorders>
              <w:top w:val="single" w:sz="6" w:space="0" w:color="auto"/>
              <w:left w:val="single" w:sz="6" w:space="0" w:color="auto"/>
              <w:bottom w:val="single" w:sz="6" w:space="0" w:color="auto"/>
              <w:right w:val="single" w:sz="6" w:space="0" w:color="auto"/>
            </w:tcBorders>
          </w:tcPr>
          <w:p w14:paraId="045014C0"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CP/23/2 </w:t>
            </w:r>
          </w:p>
        </w:tc>
        <w:tc>
          <w:tcPr>
            <w:tcW w:w="1666" w:type="pct"/>
            <w:tcBorders>
              <w:top w:val="single" w:sz="6" w:space="0" w:color="auto"/>
              <w:left w:val="single" w:sz="6" w:space="0" w:color="auto"/>
              <w:bottom w:val="single" w:sz="6" w:space="0" w:color="auto"/>
              <w:right w:val="single" w:sz="6" w:space="0" w:color="auto"/>
            </w:tcBorders>
          </w:tcPr>
          <w:p w14:paraId="0F38BE6E"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Consider </w:t>
            </w:r>
            <w:proofErr w:type="gramStart"/>
            <w:r>
              <w:rPr>
                <w:rFonts w:ascii="Tms Rmn" w:hAnsi="Tms Rmn" w:cs="Tms Rmn"/>
                <w:color w:val="000000"/>
                <w:kern w:val="0"/>
                <w:sz w:val="24"/>
                <w:szCs w:val="24"/>
              </w:rPr>
              <w:t>a number of</w:t>
            </w:r>
            <w:proofErr w:type="gramEnd"/>
            <w:r>
              <w:rPr>
                <w:rFonts w:ascii="Tms Rmn" w:hAnsi="Tms Rmn" w:cs="Tms Rmn"/>
                <w:color w:val="000000"/>
                <w:kern w:val="0"/>
                <w:sz w:val="24"/>
                <w:szCs w:val="24"/>
              </w:rPr>
              <w:t xml:space="preserve"> reforms to the taxation system under relevant tax heads from an environmental perspective </w:t>
            </w:r>
          </w:p>
        </w:tc>
      </w:tr>
      <w:tr w:rsidR="008926D0" w14:paraId="7DA9EA33" w14:textId="77777777" w:rsidTr="008926D0">
        <w:tc>
          <w:tcPr>
            <w:tcW w:w="1667" w:type="pct"/>
            <w:tcBorders>
              <w:top w:val="single" w:sz="6" w:space="0" w:color="auto"/>
              <w:left w:val="single" w:sz="6" w:space="0" w:color="auto"/>
              <w:bottom w:val="single" w:sz="6" w:space="0" w:color="auto"/>
              <w:right w:val="single" w:sz="6" w:space="0" w:color="auto"/>
            </w:tcBorders>
          </w:tcPr>
          <w:p w14:paraId="61C18FA9"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667" w:type="pct"/>
            <w:tcBorders>
              <w:top w:val="single" w:sz="6" w:space="0" w:color="auto"/>
              <w:left w:val="single" w:sz="6" w:space="0" w:color="auto"/>
              <w:bottom w:val="single" w:sz="6" w:space="0" w:color="auto"/>
              <w:right w:val="single" w:sz="6" w:space="0" w:color="auto"/>
            </w:tcBorders>
          </w:tcPr>
          <w:p w14:paraId="59B140FA"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CP/23/6 </w:t>
            </w:r>
          </w:p>
        </w:tc>
        <w:tc>
          <w:tcPr>
            <w:tcW w:w="1666" w:type="pct"/>
            <w:tcBorders>
              <w:top w:val="single" w:sz="6" w:space="0" w:color="auto"/>
              <w:left w:val="single" w:sz="6" w:space="0" w:color="auto"/>
              <w:bottom w:val="single" w:sz="6" w:space="0" w:color="auto"/>
              <w:right w:val="single" w:sz="6" w:space="0" w:color="auto"/>
            </w:tcBorders>
          </w:tcPr>
          <w:p w14:paraId="001696F5"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Implement the Actions set out in Ireland's Sustainable Finance Roadmap and engagement on the sustainable finance agenda at EU and international level </w:t>
            </w:r>
          </w:p>
        </w:tc>
      </w:tr>
      <w:tr w:rsidR="008926D0" w14:paraId="56408377" w14:textId="77777777" w:rsidTr="008926D0">
        <w:tc>
          <w:tcPr>
            <w:tcW w:w="1667" w:type="pct"/>
            <w:tcBorders>
              <w:top w:val="single" w:sz="6" w:space="0" w:color="auto"/>
              <w:left w:val="single" w:sz="6" w:space="0" w:color="auto"/>
              <w:bottom w:val="single" w:sz="6" w:space="0" w:color="auto"/>
              <w:right w:val="single" w:sz="6" w:space="0" w:color="auto"/>
            </w:tcBorders>
          </w:tcPr>
          <w:p w14:paraId="7A8AA561"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667" w:type="pct"/>
            <w:tcBorders>
              <w:top w:val="single" w:sz="6" w:space="0" w:color="auto"/>
              <w:left w:val="single" w:sz="6" w:space="0" w:color="auto"/>
              <w:bottom w:val="single" w:sz="6" w:space="0" w:color="auto"/>
              <w:right w:val="single" w:sz="6" w:space="0" w:color="auto"/>
            </w:tcBorders>
          </w:tcPr>
          <w:p w14:paraId="33F775A5"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CP/23/6/A* </w:t>
            </w:r>
          </w:p>
        </w:tc>
        <w:tc>
          <w:tcPr>
            <w:tcW w:w="1666" w:type="pct"/>
            <w:tcBorders>
              <w:top w:val="single" w:sz="6" w:space="0" w:color="auto"/>
              <w:left w:val="single" w:sz="6" w:space="0" w:color="auto"/>
              <w:bottom w:val="single" w:sz="6" w:space="0" w:color="auto"/>
              <w:right w:val="single" w:sz="6" w:space="0" w:color="auto"/>
            </w:tcBorders>
          </w:tcPr>
          <w:p w14:paraId="37691B13"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proofErr w:type="spellStart"/>
            <w:r>
              <w:rPr>
                <w:rFonts w:ascii="Tms Rmn" w:hAnsi="Tms Rmn" w:cs="Tms Rmn"/>
                <w:color w:val="000000"/>
                <w:kern w:val="0"/>
                <w:sz w:val="24"/>
                <w:szCs w:val="24"/>
              </w:rPr>
              <w:t>NewERA</w:t>
            </w:r>
            <w:proofErr w:type="spellEnd"/>
            <w:r>
              <w:rPr>
                <w:rFonts w:ascii="Tms Rmn" w:hAnsi="Tms Rmn" w:cs="Tms Rmn"/>
                <w:color w:val="000000"/>
                <w:kern w:val="0"/>
                <w:sz w:val="24"/>
                <w:szCs w:val="24"/>
              </w:rPr>
              <w:t xml:space="preserve"> will work with the commercial State companies, the Ireland Strategic Investment Fund, the Strategic Banking Corporation of Ireland, and other public bodies to mobilise private investment towards assisting in meeting our climate objectives</w:t>
            </w:r>
          </w:p>
        </w:tc>
      </w:tr>
      <w:tr w:rsidR="008926D0" w14:paraId="7E65064C" w14:textId="77777777" w:rsidTr="008926D0">
        <w:tc>
          <w:tcPr>
            <w:tcW w:w="1667" w:type="pct"/>
            <w:tcBorders>
              <w:top w:val="single" w:sz="6" w:space="0" w:color="auto"/>
              <w:left w:val="single" w:sz="6" w:space="0" w:color="auto"/>
              <w:bottom w:val="single" w:sz="6" w:space="0" w:color="auto"/>
              <w:right w:val="single" w:sz="6" w:space="0" w:color="auto"/>
            </w:tcBorders>
          </w:tcPr>
          <w:p w14:paraId="040044BA"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667" w:type="pct"/>
            <w:tcBorders>
              <w:top w:val="single" w:sz="6" w:space="0" w:color="auto"/>
              <w:left w:val="single" w:sz="6" w:space="0" w:color="auto"/>
              <w:bottom w:val="single" w:sz="6" w:space="0" w:color="auto"/>
              <w:right w:val="single" w:sz="6" w:space="0" w:color="auto"/>
            </w:tcBorders>
          </w:tcPr>
          <w:p w14:paraId="1959348B"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CP/23/7 </w:t>
            </w:r>
          </w:p>
        </w:tc>
        <w:tc>
          <w:tcPr>
            <w:tcW w:w="1666" w:type="pct"/>
            <w:tcBorders>
              <w:top w:val="single" w:sz="6" w:space="0" w:color="auto"/>
              <w:left w:val="single" w:sz="6" w:space="0" w:color="auto"/>
              <w:bottom w:val="single" w:sz="6" w:space="0" w:color="auto"/>
              <w:right w:val="single" w:sz="6" w:space="0" w:color="auto"/>
            </w:tcBorders>
          </w:tcPr>
          <w:p w14:paraId="0E4168FA"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Consider further opportunities for issuing new Irish Sovereign Green Bonds, and monitor the allocation and impact of funds raised through existing Irish Sovereign Green Bonds </w:t>
            </w:r>
          </w:p>
        </w:tc>
      </w:tr>
      <w:tr w:rsidR="008926D0" w14:paraId="55C1BC28" w14:textId="77777777" w:rsidTr="008926D0">
        <w:tc>
          <w:tcPr>
            <w:tcW w:w="1667" w:type="pct"/>
            <w:tcBorders>
              <w:top w:val="single" w:sz="6" w:space="0" w:color="auto"/>
              <w:left w:val="single" w:sz="6" w:space="0" w:color="auto"/>
              <w:bottom w:val="single" w:sz="6" w:space="0" w:color="auto"/>
              <w:right w:val="single" w:sz="6" w:space="0" w:color="auto"/>
            </w:tcBorders>
          </w:tcPr>
          <w:p w14:paraId="04AF9CC1"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2023 </w:t>
            </w:r>
          </w:p>
        </w:tc>
        <w:tc>
          <w:tcPr>
            <w:tcW w:w="1667" w:type="pct"/>
            <w:tcBorders>
              <w:top w:val="single" w:sz="6" w:space="0" w:color="auto"/>
              <w:left w:val="single" w:sz="6" w:space="0" w:color="auto"/>
              <w:bottom w:val="single" w:sz="6" w:space="0" w:color="auto"/>
              <w:right w:val="single" w:sz="6" w:space="0" w:color="auto"/>
            </w:tcBorders>
          </w:tcPr>
          <w:p w14:paraId="601D576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CP/23/8* </w:t>
            </w:r>
          </w:p>
        </w:tc>
        <w:tc>
          <w:tcPr>
            <w:tcW w:w="1666" w:type="pct"/>
            <w:tcBorders>
              <w:top w:val="single" w:sz="6" w:space="0" w:color="auto"/>
              <w:left w:val="single" w:sz="6" w:space="0" w:color="auto"/>
              <w:bottom w:val="single" w:sz="6" w:space="0" w:color="auto"/>
              <w:right w:val="single" w:sz="6" w:space="0" w:color="auto"/>
            </w:tcBorders>
          </w:tcPr>
          <w:p w14:paraId="60AFDD18"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Promote opportunities for European Investment Bank investment in relevant climate projects in Ireland </w:t>
            </w:r>
          </w:p>
        </w:tc>
      </w:tr>
      <w:tr w:rsidR="008926D0" w14:paraId="6C5BB265" w14:textId="77777777" w:rsidTr="008926D0">
        <w:tc>
          <w:tcPr>
            <w:tcW w:w="1667" w:type="pct"/>
            <w:tcBorders>
              <w:top w:val="single" w:sz="6" w:space="0" w:color="auto"/>
              <w:left w:val="single" w:sz="6" w:space="0" w:color="auto"/>
              <w:bottom w:val="single" w:sz="6" w:space="0" w:color="auto"/>
              <w:right w:val="single" w:sz="6" w:space="0" w:color="auto"/>
            </w:tcBorders>
          </w:tcPr>
          <w:p w14:paraId="045C2D97"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2024 </w:t>
            </w:r>
          </w:p>
        </w:tc>
        <w:tc>
          <w:tcPr>
            <w:tcW w:w="1667" w:type="pct"/>
            <w:tcBorders>
              <w:top w:val="single" w:sz="6" w:space="0" w:color="auto"/>
              <w:left w:val="single" w:sz="6" w:space="0" w:color="auto"/>
              <w:bottom w:val="single" w:sz="6" w:space="0" w:color="auto"/>
              <w:right w:val="single" w:sz="6" w:space="0" w:color="auto"/>
            </w:tcBorders>
          </w:tcPr>
          <w:p w14:paraId="5F4DB246"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PS/24/5 </w:t>
            </w:r>
          </w:p>
        </w:tc>
        <w:tc>
          <w:tcPr>
            <w:tcW w:w="1666" w:type="pct"/>
            <w:tcBorders>
              <w:top w:val="single" w:sz="6" w:space="0" w:color="auto"/>
              <w:left w:val="single" w:sz="6" w:space="0" w:color="auto"/>
              <w:bottom w:val="single" w:sz="6" w:space="0" w:color="auto"/>
              <w:right w:val="single" w:sz="6" w:space="0" w:color="auto"/>
            </w:tcBorders>
          </w:tcPr>
          <w:p w14:paraId="42BD1F04"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Monitor implementation of commitments in Commercial Semi-State Climate Action Framework and report to DECC on a biannual basis </w:t>
            </w:r>
          </w:p>
        </w:tc>
      </w:tr>
      <w:tr w:rsidR="008926D0" w14:paraId="784D6385" w14:textId="77777777" w:rsidTr="008926D0">
        <w:tc>
          <w:tcPr>
            <w:tcW w:w="1667" w:type="pct"/>
            <w:tcBorders>
              <w:top w:val="single" w:sz="6" w:space="0" w:color="auto"/>
              <w:left w:val="single" w:sz="6" w:space="0" w:color="auto"/>
              <w:bottom w:val="single" w:sz="6" w:space="0" w:color="auto"/>
              <w:right w:val="single" w:sz="6" w:space="0" w:color="auto"/>
            </w:tcBorders>
          </w:tcPr>
          <w:p w14:paraId="14D7B3A5"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667" w:type="pct"/>
            <w:tcBorders>
              <w:top w:val="single" w:sz="6" w:space="0" w:color="auto"/>
              <w:left w:val="single" w:sz="6" w:space="0" w:color="auto"/>
              <w:bottom w:val="single" w:sz="6" w:space="0" w:color="auto"/>
              <w:right w:val="single" w:sz="6" w:space="0" w:color="auto"/>
            </w:tcBorders>
          </w:tcPr>
          <w:p w14:paraId="32138A99"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CP/24/1 </w:t>
            </w:r>
          </w:p>
        </w:tc>
        <w:tc>
          <w:tcPr>
            <w:tcW w:w="1666" w:type="pct"/>
            <w:tcBorders>
              <w:top w:val="single" w:sz="6" w:space="0" w:color="auto"/>
              <w:left w:val="single" w:sz="6" w:space="0" w:color="auto"/>
              <w:bottom w:val="single" w:sz="6" w:space="0" w:color="auto"/>
              <w:right w:val="single" w:sz="6" w:space="0" w:color="auto"/>
            </w:tcBorders>
          </w:tcPr>
          <w:p w14:paraId="32B8D843"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Monitor and review the carbon tax increases as legislated in the 2020 Finance Act and other environment related taxation reform </w:t>
            </w:r>
          </w:p>
        </w:tc>
      </w:tr>
      <w:tr w:rsidR="008926D0" w14:paraId="6DE58469" w14:textId="77777777" w:rsidTr="008926D0">
        <w:tc>
          <w:tcPr>
            <w:tcW w:w="1667" w:type="pct"/>
            <w:tcBorders>
              <w:top w:val="single" w:sz="6" w:space="0" w:color="auto"/>
              <w:left w:val="single" w:sz="6" w:space="0" w:color="auto"/>
              <w:bottom w:val="single" w:sz="6" w:space="0" w:color="auto"/>
              <w:right w:val="single" w:sz="6" w:space="0" w:color="auto"/>
            </w:tcBorders>
          </w:tcPr>
          <w:p w14:paraId="4BEFD5B5"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2024 </w:t>
            </w:r>
          </w:p>
        </w:tc>
        <w:tc>
          <w:tcPr>
            <w:tcW w:w="1667" w:type="pct"/>
            <w:tcBorders>
              <w:top w:val="single" w:sz="6" w:space="0" w:color="auto"/>
              <w:left w:val="single" w:sz="6" w:space="0" w:color="auto"/>
              <w:bottom w:val="single" w:sz="6" w:space="0" w:color="auto"/>
              <w:right w:val="single" w:sz="6" w:space="0" w:color="auto"/>
            </w:tcBorders>
          </w:tcPr>
          <w:p w14:paraId="4AE66C47"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CP/24/2 </w:t>
            </w:r>
          </w:p>
        </w:tc>
        <w:tc>
          <w:tcPr>
            <w:tcW w:w="1666" w:type="pct"/>
            <w:tcBorders>
              <w:top w:val="single" w:sz="6" w:space="0" w:color="auto"/>
              <w:left w:val="single" w:sz="6" w:space="0" w:color="auto"/>
              <w:bottom w:val="single" w:sz="6" w:space="0" w:color="auto"/>
              <w:right w:val="single" w:sz="6" w:space="0" w:color="auto"/>
            </w:tcBorders>
          </w:tcPr>
          <w:p w14:paraId="04D4AC60"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Publish Green Budgeting Analysis on tax and tax expenditure </w:t>
            </w:r>
          </w:p>
        </w:tc>
      </w:tr>
      <w:tr w:rsidR="008926D0" w14:paraId="4E0685B1" w14:textId="77777777" w:rsidTr="008926D0">
        <w:tc>
          <w:tcPr>
            <w:tcW w:w="1667" w:type="pct"/>
            <w:tcBorders>
              <w:top w:val="single" w:sz="6" w:space="0" w:color="auto"/>
              <w:left w:val="single" w:sz="6" w:space="0" w:color="auto"/>
              <w:bottom w:val="single" w:sz="6" w:space="0" w:color="auto"/>
              <w:right w:val="single" w:sz="6" w:space="0" w:color="auto"/>
            </w:tcBorders>
          </w:tcPr>
          <w:p w14:paraId="1915B06D"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2025 </w:t>
            </w:r>
          </w:p>
        </w:tc>
        <w:tc>
          <w:tcPr>
            <w:tcW w:w="1667" w:type="pct"/>
            <w:tcBorders>
              <w:top w:val="single" w:sz="6" w:space="0" w:color="auto"/>
              <w:left w:val="single" w:sz="6" w:space="0" w:color="auto"/>
              <w:bottom w:val="single" w:sz="6" w:space="0" w:color="auto"/>
              <w:right w:val="single" w:sz="6" w:space="0" w:color="auto"/>
            </w:tcBorders>
          </w:tcPr>
          <w:p w14:paraId="701DF7DF"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CP/25/2 </w:t>
            </w:r>
          </w:p>
        </w:tc>
        <w:tc>
          <w:tcPr>
            <w:tcW w:w="1666" w:type="pct"/>
            <w:tcBorders>
              <w:top w:val="single" w:sz="6" w:space="0" w:color="auto"/>
              <w:left w:val="single" w:sz="6" w:space="0" w:color="auto"/>
              <w:bottom w:val="single" w:sz="6" w:space="0" w:color="auto"/>
              <w:right w:val="single" w:sz="6" w:space="0" w:color="auto"/>
            </w:tcBorders>
          </w:tcPr>
          <w:p w14:paraId="48BB21A5" w14:textId="77777777" w:rsidR="008926D0" w:rsidRDefault="008926D0">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Expand the Department of Finance’s green budgeting methodology from a tax perspective to include all six EU Taxonomy for Sustainable Activities based on the EU Green Budgeting Reference Framework and the OECD Green Budgeting Framework </w:t>
            </w:r>
          </w:p>
        </w:tc>
      </w:tr>
    </w:tbl>
    <w:p w14:paraId="4A0F52CD" w14:textId="77777777" w:rsidR="00BB4C2B" w:rsidRPr="00BF166E" w:rsidRDefault="00BB4C2B" w:rsidP="00BF166E"/>
    <w:sectPr w:rsidR="00BB4C2B" w:rsidRPr="00BF166E" w:rsidSect="004A269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6ED"/>
    <w:rsid w:val="00257BFF"/>
    <w:rsid w:val="004A2692"/>
    <w:rsid w:val="007021FF"/>
    <w:rsid w:val="007458A4"/>
    <w:rsid w:val="008926D0"/>
    <w:rsid w:val="00A81160"/>
    <w:rsid w:val="00B16753"/>
    <w:rsid w:val="00B42D8F"/>
    <w:rsid w:val="00BB4C2B"/>
    <w:rsid w:val="00BF166E"/>
    <w:rsid w:val="00E716ED"/>
    <w:rsid w:val="00F642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4708"/>
  <w15:chartTrackingRefBased/>
  <w15:docId w15:val="{719463C8-4707-4DF7-B6FE-CB06E22C9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1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1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16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16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16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16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16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16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16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6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16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16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16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16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16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16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16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16ED"/>
    <w:rPr>
      <w:rFonts w:eastAsiaTheme="majorEastAsia" w:cstheme="majorBidi"/>
      <w:color w:val="272727" w:themeColor="text1" w:themeTint="D8"/>
    </w:rPr>
  </w:style>
  <w:style w:type="paragraph" w:styleId="Title">
    <w:name w:val="Title"/>
    <w:basedOn w:val="Normal"/>
    <w:next w:val="Normal"/>
    <w:link w:val="TitleChar"/>
    <w:uiPriority w:val="10"/>
    <w:qFormat/>
    <w:rsid w:val="00E716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16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16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16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16ED"/>
    <w:pPr>
      <w:spacing w:before="160"/>
      <w:jc w:val="center"/>
    </w:pPr>
    <w:rPr>
      <w:i/>
      <w:iCs/>
      <w:color w:val="404040" w:themeColor="text1" w:themeTint="BF"/>
    </w:rPr>
  </w:style>
  <w:style w:type="character" w:customStyle="1" w:styleId="QuoteChar">
    <w:name w:val="Quote Char"/>
    <w:basedOn w:val="DefaultParagraphFont"/>
    <w:link w:val="Quote"/>
    <w:uiPriority w:val="29"/>
    <w:rsid w:val="00E716ED"/>
    <w:rPr>
      <w:i/>
      <w:iCs/>
      <w:color w:val="404040" w:themeColor="text1" w:themeTint="BF"/>
    </w:rPr>
  </w:style>
  <w:style w:type="paragraph" w:styleId="ListParagraph">
    <w:name w:val="List Paragraph"/>
    <w:basedOn w:val="Normal"/>
    <w:uiPriority w:val="34"/>
    <w:qFormat/>
    <w:rsid w:val="00E716ED"/>
    <w:pPr>
      <w:ind w:left="720"/>
      <w:contextualSpacing/>
    </w:pPr>
  </w:style>
  <w:style w:type="character" w:styleId="IntenseEmphasis">
    <w:name w:val="Intense Emphasis"/>
    <w:basedOn w:val="DefaultParagraphFont"/>
    <w:uiPriority w:val="21"/>
    <w:qFormat/>
    <w:rsid w:val="00E716ED"/>
    <w:rPr>
      <w:i/>
      <w:iCs/>
      <w:color w:val="0F4761" w:themeColor="accent1" w:themeShade="BF"/>
    </w:rPr>
  </w:style>
  <w:style w:type="paragraph" w:styleId="IntenseQuote">
    <w:name w:val="Intense Quote"/>
    <w:basedOn w:val="Normal"/>
    <w:next w:val="Normal"/>
    <w:link w:val="IntenseQuoteChar"/>
    <w:uiPriority w:val="30"/>
    <w:qFormat/>
    <w:rsid w:val="00E71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16ED"/>
    <w:rPr>
      <w:i/>
      <w:iCs/>
      <w:color w:val="0F4761" w:themeColor="accent1" w:themeShade="BF"/>
    </w:rPr>
  </w:style>
  <w:style w:type="character" w:styleId="IntenseReference">
    <w:name w:val="Intense Reference"/>
    <w:basedOn w:val="DefaultParagraphFont"/>
    <w:uiPriority w:val="32"/>
    <w:qFormat/>
    <w:rsid w:val="00E716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3971</Characters>
  <Application>Microsoft Office Word</Application>
  <DocSecurity>0</DocSecurity>
  <Lines>33</Lines>
  <Paragraphs>9</Paragraphs>
  <ScaleCrop>false</ScaleCrop>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5</cp:revision>
  <dcterms:created xsi:type="dcterms:W3CDTF">2026-07-16T13:36:00Z</dcterms:created>
  <dcterms:modified xsi:type="dcterms:W3CDTF">2026-07-16T14:39:00Z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2026-07-16T13:36:22Z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e3c51bb7-bfa5-4504-8920-43048767ab3c</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