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1E5BD" w14:textId="77777777" w:rsidR="000F3B8A" w:rsidRDefault="00EB4BBC" w:rsidP="000F3B8A">
      <w:pPr>
        <w:rPr>
          <w:b/>
          <w:bCs/>
          <w:u w:val="single"/>
        </w:rPr>
      </w:pPr>
      <w:r w:rsidRPr="00EB4BBC">
        <w:rPr>
          <w:b/>
          <w:bCs/>
          <w:u w:val="single"/>
        </w:rPr>
        <w:t xml:space="preserve">PQ Ref: </w:t>
      </w:r>
      <w:r w:rsidR="000F3B8A">
        <w:rPr>
          <w:b/>
          <w:bCs/>
          <w:u w:val="single"/>
        </w:rPr>
        <w:t>53418/26</w:t>
      </w:r>
    </w:p>
    <w:p w14:paraId="0295A341" w14:textId="5DA3FE4C" w:rsidR="00327EE2" w:rsidRDefault="000F3B8A" w:rsidP="00D1129A">
      <w:pPr>
        <w:jc w:val="both"/>
      </w:pPr>
      <w:r w:rsidRPr="000F3B8A">
        <w:t xml:space="preserve">To ask the Minister for Further and Higher Education; Research; Innovation and Science to provide details of all grant schemes currently available through his </w:t>
      </w:r>
      <w:proofErr w:type="gramStart"/>
      <w:r w:rsidRPr="000F3B8A">
        <w:t>Department</w:t>
      </w:r>
      <w:proofErr w:type="gramEnd"/>
      <w:r w:rsidR="0004196F">
        <w:t>,</w:t>
      </w:r>
      <w:r w:rsidRPr="000F3B8A">
        <w:t xml:space="preserve"> for which </w:t>
      </w:r>
      <w:r w:rsidRPr="009D43F5">
        <w:rPr>
          <w:b/>
          <w:bCs/>
        </w:rPr>
        <w:t>individuals or community groups</w:t>
      </w:r>
      <w:r w:rsidRPr="000F3B8A">
        <w:t xml:space="preserve"> are eligible to apply; the purpose of each grant scheme; the eligibility criteria; the application process; the opening and closing dates for application; and if he will make a statement on the matter.</w:t>
      </w:r>
    </w:p>
    <w:tbl>
      <w:tblPr>
        <w:tblW w:w="14029" w:type="dxa"/>
        <w:tblLook w:val="04A0" w:firstRow="1" w:lastRow="0" w:firstColumn="1" w:lastColumn="0" w:noHBand="0" w:noVBand="1"/>
      </w:tblPr>
      <w:tblGrid>
        <w:gridCol w:w="1980"/>
        <w:gridCol w:w="4952"/>
        <w:gridCol w:w="3553"/>
        <w:gridCol w:w="1843"/>
        <w:gridCol w:w="1701"/>
      </w:tblGrid>
      <w:tr w:rsidR="005E2593" w:rsidRPr="005E2593" w14:paraId="0BCEBBD7" w14:textId="77777777" w:rsidTr="006C2C98">
        <w:trPr>
          <w:trHeight w:val="320"/>
        </w:trPr>
        <w:tc>
          <w:tcPr>
            <w:tcW w:w="14029" w:type="dxa"/>
            <w:gridSpan w:val="5"/>
            <w:tcBorders>
              <w:top w:val="single" w:sz="4" w:space="0" w:color="auto"/>
              <w:left w:val="single" w:sz="4" w:space="0" w:color="auto"/>
              <w:bottom w:val="single" w:sz="4" w:space="0" w:color="auto"/>
              <w:right w:val="single" w:sz="4" w:space="0" w:color="000000"/>
            </w:tcBorders>
            <w:noWrap/>
            <w:vAlign w:val="bottom"/>
            <w:hideMark/>
          </w:tcPr>
          <w:p w14:paraId="6EBAB56B" w14:textId="589F92E2" w:rsidR="005E2593" w:rsidRPr="005E2593" w:rsidRDefault="005E2593" w:rsidP="005E2593">
            <w:pPr>
              <w:spacing w:after="0" w:line="240" w:lineRule="auto"/>
              <w:jc w:val="center"/>
              <w:rPr>
                <w:rFonts w:ascii="Aptos Display" w:eastAsia="Times New Roman" w:hAnsi="Aptos Display" w:cs="Times New Roman"/>
                <w:b/>
                <w:bCs/>
                <w:color w:val="000000"/>
                <w:kern w:val="0"/>
                <w:lang w:eastAsia="en-IE"/>
                <w14:ligatures w14:val="none"/>
              </w:rPr>
            </w:pPr>
            <w:r w:rsidRPr="005E2593">
              <w:rPr>
                <w:rFonts w:ascii="Aptos Display" w:eastAsia="Times New Roman" w:hAnsi="Aptos Display" w:cs="Times New Roman"/>
                <w:b/>
                <w:bCs/>
                <w:color w:val="000000"/>
                <w:kern w:val="0"/>
                <w:lang w:eastAsia="en-IE"/>
                <w14:ligatures w14:val="none"/>
              </w:rPr>
              <w:t>DFHERIS Grant Support Schemes and Eligibility Criteria</w:t>
            </w:r>
            <w:r w:rsidR="009D43F5">
              <w:rPr>
                <w:rFonts w:ascii="Aptos Display" w:eastAsia="Times New Roman" w:hAnsi="Aptos Display" w:cs="Times New Roman"/>
                <w:b/>
                <w:bCs/>
                <w:color w:val="000000"/>
                <w:kern w:val="0"/>
                <w:lang w:eastAsia="en-IE"/>
                <w14:ligatures w14:val="none"/>
              </w:rPr>
              <w:t xml:space="preserve"> 2026</w:t>
            </w:r>
          </w:p>
        </w:tc>
      </w:tr>
      <w:tr w:rsidR="005E2593" w:rsidRPr="005E2593" w14:paraId="6612D9A9" w14:textId="77777777" w:rsidTr="006C2C98">
        <w:trPr>
          <w:trHeight w:val="1290"/>
        </w:trPr>
        <w:tc>
          <w:tcPr>
            <w:tcW w:w="1980" w:type="dxa"/>
            <w:tcBorders>
              <w:top w:val="nil"/>
              <w:left w:val="single" w:sz="8" w:space="0" w:color="auto"/>
              <w:bottom w:val="single" w:sz="8" w:space="0" w:color="auto"/>
              <w:right w:val="single" w:sz="8" w:space="0" w:color="auto"/>
            </w:tcBorders>
            <w:vAlign w:val="center"/>
            <w:hideMark/>
          </w:tcPr>
          <w:p w14:paraId="1508E539" w14:textId="77777777" w:rsidR="005E2593" w:rsidRPr="005E2593" w:rsidRDefault="005E2593" w:rsidP="005E2593">
            <w:pPr>
              <w:spacing w:after="0" w:line="240" w:lineRule="auto"/>
              <w:rPr>
                <w:rFonts w:ascii="Aptos" w:eastAsia="Times New Roman" w:hAnsi="Aptos" w:cs="Times New Roman"/>
                <w:b/>
                <w:bCs/>
                <w:color w:val="000000"/>
                <w:kern w:val="0"/>
                <w:lang w:eastAsia="en-IE"/>
                <w14:ligatures w14:val="none"/>
              </w:rPr>
            </w:pPr>
            <w:r w:rsidRPr="005E2593">
              <w:rPr>
                <w:rFonts w:ascii="Aptos" w:eastAsia="Times New Roman" w:hAnsi="Aptos" w:cs="Times New Roman"/>
                <w:b/>
                <w:bCs/>
                <w:color w:val="000000"/>
                <w:kern w:val="0"/>
                <w:lang w:eastAsia="en-IE"/>
                <w14:ligatures w14:val="none"/>
              </w:rPr>
              <w:t>Scheme</w:t>
            </w:r>
          </w:p>
        </w:tc>
        <w:tc>
          <w:tcPr>
            <w:tcW w:w="4952" w:type="dxa"/>
            <w:tcBorders>
              <w:top w:val="nil"/>
              <w:left w:val="nil"/>
              <w:bottom w:val="single" w:sz="8" w:space="0" w:color="auto"/>
              <w:right w:val="single" w:sz="8" w:space="0" w:color="auto"/>
            </w:tcBorders>
            <w:vAlign w:val="center"/>
            <w:hideMark/>
          </w:tcPr>
          <w:p w14:paraId="114E8571" w14:textId="0B98DD32" w:rsidR="005E2593" w:rsidRPr="005E2593" w:rsidRDefault="005E2593" w:rsidP="005E2593">
            <w:pPr>
              <w:spacing w:after="0" w:line="240" w:lineRule="auto"/>
              <w:rPr>
                <w:rFonts w:ascii="Aptos" w:eastAsia="Times New Roman" w:hAnsi="Aptos" w:cs="Times New Roman"/>
                <w:b/>
                <w:bCs/>
                <w:color w:val="000000"/>
                <w:kern w:val="0"/>
                <w:lang w:eastAsia="en-IE"/>
                <w14:ligatures w14:val="none"/>
              </w:rPr>
            </w:pPr>
            <w:r w:rsidRPr="005E2593">
              <w:rPr>
                <w:rFonts w:ascii="Aptos" w:eastAsia="Times New Roman" w:hAnsi="Aptos" w:cs="Times New Roman"/>
                <w:b/>
                <w:bCs/>
                <w:color w:val="000000"/>
                <w:kern w:val="0"/>
                <w:lang w:eastAsia="en-IE"/>
                <w14:ligatures w14:val="none"/>
              </w:rPr>
              <w:t>Eligibility Criteria</w:t>
            </w:r>
            <w:r w:rsidR="009D43F5">
              <w:rPr>
                <w:rFonts w:ascii="Aptos" w:eastAsia="Times New Roman" w:hAnsi="Aptos" w:cs="Times New Roman"/>
                <w:b/>
                <w:bCs/>
                <w:color w:val="000000"/>
                <w:kern w:val="0"/>
                <w:lang w:eastAsia="en-IE"/>
                <w14:ligatures w14:val="none"/>
              </w:rPr>
              <w:t xml:space="preserve"> &amp; Purpose</w:t>
            </w:r>
          </w:p>
        </w:tc>
        <w:tc>
          <w:tcPr>
            <w:tcW w:w="3553" w:type="dxa"/>
            <w:tcBorders>
              <w:top w:val="nil"/>
              <w:left w:val="nil"/>
              <w:bottom w:val="single" w:sz="8" w:space="0" w:color="auto"/>
              <w:right w:val="single" w:sz="8" w:space="0" w:color="auto"/>
            </w:tcBorders>
            <w:vAlign w:val="center"/>
            <w:hideMark/>
          </w:tcPr>
          <w:p w14:paraId="0C61E957" w14:textId="77777777" w:rsidR="005E2593" w:rsidRPr="005E2593" w:rsidRDefault="005E2593" w:rsidP="005E2593">
            <w:pPr>
              <w:spacing w:after="0" w:line="240" w:lineRule="auto"/>
              <w:rPr>
                <w:rFonts w:ascii="Aptos" w:eastAsia="Times New Roman" w:hAnsi="Aptos" w:cs="Times New Roman"/>
                <w:b/>
                <w:bCs/>
                <w:color w:val="000000"/>
                <w:kern w:val="0"/>
                <w:lang w:eastAsia="en-IE"/>
                <w14:ligatures w14:val="none"/>
              </w:rPr>
            </w:pPr>
            <w:r w:rsidRPr="005E2593">
              <w:rPr>
                <w:rFonts w:ascii="Aptos" w:eastAsia="Times New Roman" w:hAnsi="Aptos" w:cs="Times New Roman"/>
                <w:b/>
                <w:bCs/>
                <w:color w:val="000000"/>
                <w:kern w:val="0"/>
                <w:lang w:eastAsia="en-IE"/>
                <w14:ligatures w14:val="none"/>
              </w:rPr>
              <w:t>Application Process</w:t>
            </w:r>
          </w:p>
        </w:tc>
        <w:tc>
          <w:tcPr>
            <w:tcW w:w="1843" w:type="dxa"/>
            <w:tcBorders>
              <w:top w:val="nil"/>
              <w:left w:val="nil"/>
              <w:bottom w:val="single" w:sz="8" w:space="0" w:color="auto"/>
              <w:right w:val="single" w:sz="8" w:space="0" w:color="auto"/>
            </w:tcBorders>
            <w:vAlign w:val="center"/>
            <w:hideMark/>
          </w:tcPr>
          <w:p w14:paraId="2341654E" w14:textId="77777777" w:rsidR="005E2593" w:rsidRPr="005E2593" w:rsidRDefault="005E2593" w:rsidP="005E2593">
            <w:pPr>
              <w:spacing w:after="0" w:line="240" w:lineRule="auto"/>
              <w:rPr>
                <w:rFonts w:ascii="Aptos" w:eastAsia="Times New Roman" w:hAnsi="Aptos" w:cs="Times New Roman"/>
                <w:b/>
                <w:bCs/>
                <w:color w:val="000000"/>
                <w:kern w:val="0"/>
                <w:lang w:eastAsia="en-IE"/>
                <w14:ligatures w14:val="none"/>
              </w:rPr>
            </w:pPr>
            <w:r w:rsidRPr="005E2593">
              <w:rPr>
                <w:rFonts w:ascii="Aptos" w:eastAsia="Times New Roman" w:hAnsi="Aptos" w:cs="Times New Roman"/>
                <w:b/>
                <w:bCs/>
                <w:color w:val="000000"/>
                <w:kern w:val="0"/>
                <w:lang w:eastAsia="en-IE"/>
                <w14:ligatures w14:val="none"/>
              </w:rPr>
              <w:t>Opening Date for Applications (2026)</w:t>
            </w:r>
          </w:p>
        </w:tc>
        <w:tc>
          <w:tcPr>
            <w:tcW w:w="1701" w:type="dxa"/>
            <w:tcBorders>
              <w:top w:val="nil"/>
              <w:left w:val="nil"/>
              <w:bottom w:val="single" w:sz="8" w:space="0" w:color="auto"/>
              <w:right w:val="single" w:sz="8" w:space="0" w:color="auto"/>
            </w:tcBorders>
            <w:vAlign w:val="center"/>
            <w:hideMark/>
          </w:tcPr>
          <w:p w14:paraId="1ED82BBE" w14:textId="77777777" w:rsidR="005E2593" w:rsidRPr="005E2593" w:rsidRDefault="005E2593" w:rsidP="005E2593">
            <w:pPr>
              <w:spacing w:after="0" w:line="240" w:lineRule="auto"/>
              <w:rPr>
                <w:rFonts w:ascii="Aptos" w:eastAsia="Times New Roman" w:hAnsi="Aptos" w:cs="Times New Roman"/>
                <w:b/>
                <w:bCs/>
                <w:color w:val="000000"/>
                <w:kern w:val="0"/>
                <w:lang w:eastAsia="en-IE"/>
                <w14:ligatures w14:val="none"/>
              </w:rPr>
            </w:pPr>
            <w:r w:rsidRPr="005E2593">
              <w:rPr>
                <w:rFonts w:ascii="Aptos" w:eastAsia="Times New Roman" w:hAnsi="Aptos" w:cs="Times New Roman"/>
                <w:b/>
                <w:bCs/>
                <w:color w:val="000000"/>
                <w:kern w:val="0"/>
                <w:lang w:eastAsia="en-IE"/>
                <w14:ligatures w14:val="none"/>
              </w:rPr>
              <w:t>Closing Date for Applications (2026)</w:t>
            </w:r>
          </w:p>
        </w:tc>
      </w:tr>
      <w:tr w:rsidR="006E21B9" w:rsidRPr="005E2593" w14:paraId="068DE3F9" w14:textId="77777777" w:rsidTr="006C2C98">
        <w:trPr>
          <w:trHeight w:val="1290"/>
        </w:trPr>
        <w:tc>
          <w:tcPr>
            <w:tcW w:w="1980" w:type="dxa"/>
            <w:tcBorders>
              <w:top w:val="nil"/>
              <w:left w:val="single" w:sz="8" w:space="0" w:color="auto"/>
              <w:bottom w:val="single" w:sz="8" w:space="0" w:color="auto"/>
              <w:right w:val="single" w:sz="8" w:space="0" w:color="auto"/>
            </w:tcBorders>
            <w:vAlign w:val="center"/>
          </w:tcPr>
          <w:p w14:paraId="0873C948" w14:textId="23C4C326" w:rsidR="006E21B9"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Student Grant Scheme</w:t>
            </w:r>
          </w:p>
        </w:tc>
        <w:tc>
          <w:tcPr>
            <w:tcW w:w="4952" w:type="dxa"/>
            <w:tcBorders>
              <w:top w:val="nil"/>
              <w:left w:val="nil"/>
              <w:bottom w:val="single" w:sz="8" w:space="0" w:color="auto"/>
              <w:right w:val="single" w:sz="8" w:space="0" w:color="auto"/>
            </w:tcBorders>
            <w:vAlign w:val="center"/>
          </w:tcPr>
          <w:p w14:paraId="52381584"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The Statutory based Student Grant Scheme provides grant assistance and is awarded to eligible students attending an approved full-time course in an approved institution who meet the prescribed conditions of funding, including those relating to nationality, residency, previous academic attainment and means. Students who meet the residency requirement in an EU Member State, the EEA or Switzerland that satisfy the nationality requirements may be eligible for a fee grant only.</w:t>
            </w:r>
          </w:p>
          <w:p w14:paraId="5CFD760B" w14:textId="77777777" w:rsidR="006E21B9" w:rsidRPr="005E2593" w:rsidRDefault="006E21B9" w:rsidP="005E2593">
            <w:pPr>
              <w:spacing w:after="0" w:line="240" w:lineRule="auto"/>
              <w:rPr>
                <w:rFonts w:ascii="Aptos" w:eastAsia="Times New Roman" w:hAnsi="Aptos" w:cs="Times New Roman"/>
                <w:b/>
                <w:bCs/>
                <w:color w:val="000000"/>
                <w:kern w:val="0"/>
                <w:lang w:eastAsia="en-IE"/>
                <w14:ligatures w14:val="none"/>
              </w:rPr>
            </w:pPr>
          </w:p>
        </w:tc>
        <w:tc>
          <w:tcPr>
            <w:tcW w:w="3553" w:type="dxa"/>
            <w:tcBorders>
              <w:top w:val="nil"/>
              <w:left w:val="nil"/>
              <w:bottom w:val="single" w:sz="8" w:space="0" w:color="auto"/>
              <w:right w:val="single" w:sz="8" w:space="0" w:color="auto"/>
            </w:tcBorders>
            <w:vAlign w:val="center"/>
          </w:tcPr>
          <w:p w14:paraId="6914A9AA" w14:textId="016107AF" w:rsid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The Student Grant Scheme Regulations for Specified Undergraduate Courses is an annual scheme and are administered by SUSI (Student Universal Grant Ireland) and are currently open for applications. </w:t>
            </w:r>
          </w:p>
          <w:p w14:paraId="19FD549C" w14:textId="77777777" w:rsidR="00B7662A" w:rsidRDefault="00B7662A" w:rsidP="00B7662A">
            <w:pPr>
              <w:spacing w:after="0" w:line="240" w:lineRule="auto"/>
              <w:rPr>
                <w:rFonts w:ascii="Aptos" w:eastAsia="Times New Roman" w:hAnsi="Aptos" w:cs="Times New Roman"/>
                <w:color w:val="000000"/>
                <w:kern w:val="0"/>
                <w:lang w:eastAsia="en-IE"/>
                <w14:ligatures w14:val="none"/>
              </w:rPr>
            </w:pPr>
          </w:p>
          <w:p w14:paraId="4F6F211F"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xml:space="preserve">An Eligibility Indicator on SUSI's website </w:t>
            </w:r>
            <w:hyperlink r:id="rId6" w:tgtFrame="_blank" w:history="1">
              <w:r w:rsidRPr="00B7662A">
                <w:rPr>
                  <w:rStyle w:val="Hyperlink"/>
                  <w:rFonts w:ascii="Aptos" w:eastAsia="Times New Roman" w:hAnsi="Aptos" w:cs="Times New Roman"/>
                  <w:kern w:val="0"/>
                  <w:lang w:eastAsia="en-IE"/>
                  <w14:ligatures w14:val="none"/>
                </w:rPr>
                <w:t>www.susi.ie</w:t>
              </w:r>
            </w:hyperlink>
            <w:r w:rsidRPr="00B7662A">
              <w:rPr>
                <w:rFonts w:ascii="Aptos" w:eastAsia="Times New Roman" w:hAnsi="Aptos" w:cs="Times New Roman"/>
                <w:color w:val="000000"/>
                <w:kern w:val="0"/>
                <w:lang w:eastAsia="en-IE"/>
                <w14:ligatures w14:val="none"/>
              </w:rPr>
              <w:t> provides an approximate indication of the possible eligibility for grant funding under both schemes based on the information that is provided in response to the questions asked. </w:t>
            </w:r>
          </w:p>
          <w:p w14:paraId="6EABC8FB"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p>
          <w:p w14:paraId="02A66841" w14:textId="77777777" w:rsidR="006E21B9" w:rsidRPr="005E2593" w:rsidRDefault="006E21B9" w:rsidP="005E2593">
            <w:pPr>
              <w:spacing w:after="0" w:line="240" w:lineRule="auto"/>
              <w:rPr>
                <w:rFonts w:ascii="Aptos" w:eastAsia="Times New Roman" w:hAnsi="Aptos" w:cs="Times New Roman"/>
                <w:b/>
                <w:bCs/>
                <w:color w:val="000000"/>
                <w:kern w:val="0"/>
                <w:lang w:eastAsia="en-IE"/>
                <w14:ligatures w14:val="none"/>
              </w:rPr>
            </w:pPr>
          </w:p>
        </w:tc>
        <w:tc>
          <w:tcPr>
            <w:tcW w:w="1843" w:type="dxa"/>
            <w:tcBorders>
              <w:top w:val="nil"/>
              <w:left w:val="nil"/>
              <w:bottom w:val="single" w:sz="8" w:space="0" w:color="auto"/>
              <w:right w:val="single" w:sz="8" w:space="0" w:color="auto"/>
            </w:tcBorders>
            <w:vAlign w:val="center"/>
          </w:tcPr>
          <w:p w14:paraId="44FA3A70" w14:textId="5DA83F2D" w:rsidR="006E21B9"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See link</w:t>
            </w:r>
          </w:p>
        </w:tc>
        <w:tc>
          <w:tcPr>
            <w:tcW w:w="1701" w:type="dxa"/>
            <w:tcBorders>
              <w:top w:val="nil"/>
              <w:left w:val="nil"/>
              <w:bottom w:val="single" w:sz="8" w:space="0" w:color="auto"/>
              <w:right w:val="single" w:sz="8" w:space="0" w:color="auto"/>
            </w:tcBorders>
            <w:vAlign w:val="center"/>
          </w:tcPr>
          <w:p w14:paraId="4EA0B6B4" w14:textId="64E5A929" w:rsidR="006E21B9"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See link</w:t>
            </w:r>
          </w:p>
        </w:tc>
      </w:tr>
      <w:tr w:rsidR="00B7662A" w:rsidRPr="005E2593" w14:paraId="7FD94F64" w14:textId="77777777" w:rsidTr="006C2C98">
        <w:trPr>
          <w:trHeight w:val="1290"/>
        </w:trPr>
        <w:tc>
          <w:tcPr>
            <w:tcW w:w="1980" w:type="dxa"/>
            <w:tcBorders>
              <w:top w:val="nil"/>
              <w:left w:val="single" w:sz="8" w:space="0" w:color="auto"/>
              <w:bottom w:val="single" w:sz="8" w:space="0" w:color="auto"/>
              <w:right w:val="single" w:sz="8" w:space="0" w:color="auto"/>
            </w:tcBorders>
            <w:vAlign w:val="center"/>
          </w:tcPr>
          <w:p w14:paraId="6EF07A56" w14:textId="4FCB541D" w:rsidR="00B7662A"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lastRenderedPageBreak/>
              <w:t>Part-Time Fee Scheme</w:t>
            </w:r>
          </w:p>
        </w:tc>
        <w:tc>
          <w:tcPr>
            <w:tcW w:w="4952" w:type="dxa"/>
            <w:tcBorders>
              <w:top w:val="nil"/>
              <w:left w:val="nil"/>
              <w:bottom w:val="single" w:sz="8" w:space="0" w:color="auto"/>
              <w:right w:val="single" w:sz="8" w:space="0" w:color="auto"/>
            </w:tcBorders>
            <w:vAlign w:val="center"/>
          </w:tcPr>
          <w:p w14:paraId="6B859CD5"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The Part-Time Fee Scheme and Regulations for Specified Undergraduate Courses was introduced for the first time from September 2024 to provide fee support to eligible part-time students attending specified publicly funded undergraduate courses leading to a major award. Its aim is to provide additional flexibility in respect of course provision to students who are socio-economically disadvantaged. This initiative has opened access to higher education to many underrepresented groups who cannot participate in full-time programmes.</w:t>
            </w:r>
          </w:p>
          <w:p w14:paraId="1A922078"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p>
        </w:tc>
        <w:tc>
          <w:tcPr>
            <w:tcW w:w="3553" w:type="dxa"/>
            <w:tcBorders>
              <w:top w:val="nil"/>
              <w:left w:val="nil"/>
              <w:bottom w:val="single" w:sz="8" w:space="0" w:color="auto"/>
              <w:right w:val="single" w:sz="8" w:space="0" w:color="auto"/>
            </w:tcBorders>
            <w:vAlign w:val="center"/>
          </w:tcPr>
          <w:p w14:paraId="0E148BBF" w14:textId="59477705" w:rsid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The Part-Time Fee Scheme and Regulations for Specified Undergraduate Courses is an annual scheme and is administered by SUSI (Student Universal Grant Ireland) and are currently open for applications. </w:t>
            </w:r>
          </w:p>
          <w:p w14:paraId="06D209E4" w14:textId="77777777" w:rsidR="00B7662A" w:rsidRDefault="00B7662A" w:rsidP="00B7662A">
            <w:pPr>
              <w:spacing w:after="0" w:line="240" w:lineRule="auto"/>
              <w:rPr>
                <w:rFonts w:ascii="Aptos" w:eastAsia="Times New Roman" w:hAnsi="Aptos" w:cs="Times New Roman"/>
                <w:color w:val="000000"/>
                <w:kern w:val="0"/>
                <w:lang w:eastAsia="en-IE"/>
                <w14:ligatures w14:val="none"/>
              </w:rPr>
            </w:pPr>
          </w:p>
          <w:p w14:paraId="0D533C77"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xml:space="preserve">An Eligibility Indicator on SUSI's website </w:t>
            </w:r>
            <w:hyperlink r:id="rId7" w:tgtFrame="_blank" w:history="1">
              <w:r w:rsidRPr="00B7662A">
                <w:rPr>
                  <w:rStyle w:val="Hyperlink"/>
                  <w:rFonts w:ascii="Aptos" w:eastAsia="Times New Roman" w:hAnsi="Aptos" w:cs="Times New Roman"/>
                  <w:kern w:val="0"/>
                  <w:lang w:eastAsia="en-IE"/>
                  <w14:ligatures w14:val="none"/>
                </w:rPr>
                <w:t>www.susi.ie</w:t>
              </w:r>
            </w:hyperlink>
            <w:r w:rsidRPr="00B7662A">
              <w:rPr>
                <w:rFonts w:ascii="Aptos" w:eastAsia="Times New Roman" w:hAnsi="Aptos" w:cs="Times New Roman"/>
                <w:color w:val="000000"/>
                <w:kern w:val="0"/>
                <w:lang w:eastAsia="en-IE"/>
                <w14:ligatures w14:val="none"/>
              </w:rPr>
              <w:t> provides an approximate indication of the possible eligibility for grant funding under both schemes based on the information that is provided in response to the questions asked. </w:t>
            </w:r>
          </w:p>
          <w:p w14:paraId="1513DCD1" w14:textId="77777777" w:rsidR="00B7662A" w:rsidRPr="00B7662A" w:rsidRDefault="00B7662A" w:rsidP="00B7662A">
            <w:pPr>
              <w:spacing w:after="0" w:line="240" w:lineRule="auto"/>
              <w:rPr>
                <w:rFonts w:ascii="Aptos" w:eastAsia="Times New Roman" w:hAnsi="Aptos" w:cs="Times New Roman"/>
                <w:color w:val="000000"/>
                <w:kern w:val="0"/>
                <w:lang w:eastAsia="en-IE"/>
                <w14:ligatures w14:val="none"/>
              </w:rPr>
            </w:pPr>
          </w:p>
          <w:p w14:paraId="72F44C5F" w14:textId="77777777" w:rsidR="00B7662A" w:rsidRPr="005E2593" w:rsidRDefault="00B7662A" w:rsidP="005E2593">
            <w:pPr>
              <w:spacing w:after="0" w:line="240" w:lineRule="auto"/>
              <w:rPr>
                <w:rFonts w:ascii="Aptos" w:eastAsia="Times New Roman" w:hAnsi="Aptos" w:cs="Times New Roman"/>
                <w:b/>
                <w:bCs/>
                <w:color w:val="000000"/>
                <w:kern w:val="0"/>
                <w:lang w:eastAsia="en-IE"/>
                <w14:ligatures w14:val="none"/>
              </w:rPr>
            </w:pPr>
          </w:p>
        </w:tc>
        <w:tc>
          <w:tcPr>
            <w:tcW w:w="1843" w:type="dxa"/>
            <w:tcBorders>
              <w:top w:val="nil"/>
              <w:left w:val="nil"/>
              <w:bottom w:val="single" w:sz="8" w:space="0" w:color="auto"/>
              <w:right w:val="single" w:sz="8" w:space="0" w:color="auto"/>
            </w:tcBorders>
            <w:vAlign w:val="center"/>
          </w:tcPr>
          <w:p w14:paraId="2122BBDE" w14:textId="69E43AA5" w:rsidR="00B7662A"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See link</w:t>
            </w:r>
          </w:p>
        </w:tc>
        <w:tc>
          <w:tcPr>
            <w:tcW w:w="1701" w:type="dxa"/>
            <w:tcBorders>
              <w:top w:val="nil"/>
              <w:left w:val="nil"/>
              <w:bottom w:val="single" w:sz="8" w:space="0" w:color="auto"/>
              <w:right w:val="single" w:sz="8" w:space="0" w:color="auto"/>
            </w:tcBorders>
            <w:vAlign w:val="center"/>
          </w:tcPr>
          <w:p w14:paraId="4C8E0818" w14:textId="62CEB27E" w:rsidR="00B7662A" w:rsidRPr="00B7662A" w:rsidRDefault="00B7662A"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See link</w:t>
            </w:r>
          </w:p>
        </w:tc>
      </w:tr>
      <w:tr w:rsidR="005E2593" w:rsidRPr="005E2593" w14:paraId="076B6559"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7C3506BA" w14:textId="4818A2A4" w:rsidR="005E2593" w:rsidRPr="005E2593" w:rsidRDefault="00AB5F5A" w:rsidP="005E2593">
            <w:pPr>
              <w:spacing w:after="0" w:line="240" w:lineRule="auto"/>
              <w:rPr>
                <w:rFonts w:ascii="Aptos" w:eastAsia="Times New Roman" w:hAnsi="Aptos" w:cs="Times New Roman"/>
                <w:color w:val="000000"/>
                <w:kern w:val="0"/>
                <w:lang w:eastAsia="en-IE"/>
                <w14:ligatures w14:val="none"/>
              </w:rPr>
            </w:pPr>
            <w:r w:rsidRPr="00AB5F5A">
              <w:rPr>
                <w:rFonts w:ascii="Aptos" w:eastAsia="Times New Roman" w:hAnsi="Aptos" w:cs="Times New Roman"/>
                <w:color w:val="000000"/>
                <w:kern w:val="0"/>
                <w:lang w:eastAsia="en-IE"/>
                <w14:ligatures w14:val="none"/>
              </w:rPr>
              <w:t>The Beneficiaries of Temporary Permission (Ukrainian Students) Stipend Scheme</w:t>
            </w:r>
          </w:p>
        </w:tc>
        <w:tc>
          <w:tcPr>
            <w:tcW w:w="4952" w:type="dxa"/>
            <w:tcBorders>
              <w:top w:val="nil"/>
              <w:left w:val="nil"/>
              <w:bottom w:val="single" w:sz="8" w:space="0" w:color="auto"/>
              <w:right w:val="single" w:sz="8" w:space="0" w:color="auto"/>
            </w:tcBorders>
            <w:vAlign w:val="center"/>
            <w:hideMark/>
          </w:tcPr>
          <w:p w14:paraId="195001B6" w14:textId="571A2F54"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AB5F5A">
              <w:rPr>
                <w:rFonts w:ascii="Aptos" w:eastAsia="Times New Roman" w:hAnsi="Aptos" w:cs="Times New Roman"/>
                <w:color w:val="000000"/>
                <w:kern w:val="0"/>
                <w:lang w:eastAsia="en-IE"/>
                <w14:ligatures w14:val="none"/>
              </w:rPr>
              <w:t xml:space="preserve">This scheme </w:t>
            </w:r>
            <w:r w:rsidR="00AB5F5A" w:rsidRPr="00AB5F5A">
              <w:rPr>
                <w:rFonts w:ascii="Aptos" w:eastAsia="Times New Roman" w:hAnsi="Aptos" w:cs="Times New Roman"/>
                <w:color w:val="000000"/>
                <w:kern w:val="0"/>
                <w:lang w:eastAsia="en-IE"/>
                <w14:ligatures w14:val="none"/>
              </w:rPr>
              <w:t>applies in relation to the provision of maintenance supports for eligible students attending approved higher education full-time courses in 2026/27 academic year</w:t>
            </w:r>
          </w:p>
        </w:tc>
        <w:tc>
          <w:tcPr>
            <w:tcW w:w="3553" w:type="dxa"/>
            <w:tcBorders>
              <w:top w:val="nil"/>
              <w:left w:val="nil"/>
              <w:bottom w:val="single" w:sz="8" w:space="0" w:color="auto"/>
              <w:right w:val="single" w:sz="8" w:space="0" w:color="auto"/>
            </w:tcBorders>
            <w:vAlign w:val="center"/>
            <w:hideMark/>
          </w:tcPr>
          <w:p w14:paraId="2D5E6B93" w14:textId="39266535"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AB5F5A">
              <w:rPr>
                <w:rFonts w:ascii="Aptos" w:eastAsia="Times New Roman" w:hAnsi="Aptos" w:cs="Times New Roman"/>
                <w:color w:val="000000"/>
                <w:kern w:val="0"/>
                <w:lang w:eastAsia="en-IE"/>
                <w14:ligatures w14:val="none"/>
              </w:rPr>
              <w:t xml:space="preserve">Full details on the scheme and application process are available here: </w:t>
            </w:r>
            <w:hyperlink r:id="rId8" w:history="1">
              <w:r w:rsidR="00AB5F5A" w:rsidRPr="00AB5F5A">
                <w:rPr>
                  <w:rStyle w:val="Hyperlink"/>
                  <w:rFonts w:ascii="Aptos" w:eastAsia="Times New Roman" w:hAnsi="Aptos" w:cs="Times New Roman"/>
                  <w:kern w:val="0"/>
                  <w:lang w:eastAsia="en-IE"/>
                  <w14:ligatures w14:val="none"/>
                </w:rPr>
                <w:t>Supports to Beneficiaries of Temporary Protection (</w:t>
              </w:r>
              <w:proofErr w:type="spellStart"/>
              <w:r w:rsidR="00AB5F5A" w:rsidRPr="00AB5F5A">
                <w:rPr>
                  <w:rStyle w:val="Hyperlink"/>
                  <w:rFonts w:ascii="Aptos" w:eastAsia="Times New Roman" w:hAnsi="Aptos" w:cs="Times New Roman"/>
                  <w:kern w:val="0"/>
                  <w:lang w:eastAsia="en-IE"/>
                  <w14:ligatures w14:val="none"/>
                </w:rPr>
                <w:t>BoTP</w:t>
              </w:r>
              <w:proofErr w:type="spellEnd"/>
              <w:r w:rsidR="00AB5F5A" w:rsidRPr="00AB5F5A">
                <w:rPr>
                  <w:rStyle w:val="Hyperlink"/>
                  <w:rFonts w:ascii="Aptos" w:eastAsia="Times New Roman" w:hAnsi="Aptos" w:cs="Times New Roman"/>
                  <w:kern w:val="0"/>
                  <w:lang w:eastAsia="en-IE"/>
                  <w14:ligatures w14:val="none"/>
                </w:rPr>
                <w:t>) for Academic Year 2026/2027</w:t>
              </w:r>
            </w:hyperlink>
          </w:p>
        </w:tc>
        <w:tc>
          <w:tcPr>
            <w:tcW w:w="1843" w:type="dxa"/>
            <w:tcBorders>
              <w:top w:val="nil"/>
              <w:left w:val="nil"/>
              <w:bottom w:val="single" w:sz="8" w:space="0" w:color="auto"/>
              <w:right w:val="single" w:sz="8" w:space="0" w:color="auto"/>
            </w:tcBorders>
            <w:vAlign w:val="center"/>
            <w:hideMark/>
          </w:tcPr>
          <w:p w14:paraId="1A51B2AF" w14:textId="5AF76F0F" w:rsidR="005E2593" w:rsidRPr="00B7662A" w:rsidRDefault="005E2593"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w:t>
            </w:r>
            <w:r w:rsidR="00AB5F5A" w:rsidRPr="00B7662A">
              <w:rPr>
                <w:rFonts w:ascii="Aptos" w:eastAsia="Times New Roman" w:hAnsi="Aptos" w:cs="Times New Roman"/>
                <w:color w:val="000000"/>
                <w:kern w:val="0"/>
                <w:lang w:eastAsia="en-IE"/>
                <w14:ligatures w14:val="none"/>
              </w:rPr>
              <w:t>See link</w:t>
            </w:r>
          </w:p>
        </w:tc>
        <w:tc>
          <w:tcPr>
            <w:tcW w:w="1701" w:type="dxa"/>
            <w:tcBorders>
              <w:top w:val="nil"/>
              <w:left w:val="nil"/>
              <w:bottom w:val="single" w:sz="8" w:space="0" w:color="auto"/>
              <w:right w:val="single" w:sz="8" w:space="0" w:color="auto"/>
            </w:tcBorders>
            <w:vAlign w:val="center"/>
            <w:hideMark/>
          </w:tcPr>
          <w:p w14:paraId="4B40939A" w14:textId="500C44DE" w:rsidR="005E2593" w:rsidRPr="00B7662A" w:rsidRDefault="005E2593"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w:t>
            </w:r>
            <w:r w:rsidR="00AB5F5A" w:rsidRPr="00B7662A">
              <w:rPr>
                <w:rFonts w:ascii="Aptos" w:eastAsia="Times New Roman" w:hAnsi="Aptos" w:cs="Times New Roman"/>
                <w:color w:val="000000"/>
                <w:kern w:val="0"/>
                <w:lang w:eastAsia="en-IE"/>
                <w14:ligatures w14:val="none"/>
              </w:rPr>
              <w:t>See link</w:t>
            </w:r>
          </w:p>
        </w:tc>
      </w:tr>
      <w:tr w:rsidR="005E2593" w:rsidRPr="005E2593" w14:paraId="13888216"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3E1BB81C" w14:textId="3A57676D" w:rsidR="005E2593" w:rsidRPr="005E2593" w:rsidRDefault="005356E0" w:rsidP="005E2593">
            <w:pPr>
              <w:spacing w:after="0" w:line="240" w:lineRule="auto"/>
              <w:rPr>
                <w:rFonts w:ascii="Aptos" w:eastAsia="Times New Roman" w:hAnsi="Aptos" w:cs="Times New Roman"/>
                <w:color w:val="000000"/>
                <w:kern w:val="0"/>
                <w:lang w:eastAsia="en-IE"/>
                <w14:ligatures w14:val="none"/>
              </w:rPr>
            </w:pPr>
            <w:r>
              <w:rPr>
                <w:rFonts w:ascii="Aptos" w:eastAsia="Times New Roman" w:hAnsi="Aptos" w:cs="Times New Roman"/>
                <w:color w:val="000000"/>
                <w:kern w:val="0"/>
                <w:lang w:eastAsia="en-IE"/>
                <w14:ligatures w14:val="none"/>
              </w:rPr>
              <w:t>REACH Fund</w:t>
            </w:r>
          </w:p>
        </w:tc>
        <w:tc>
          <w:tcPr>
            <w:tcW w:w="4952" w:type="dxa"/>
            <w:tcBorders>
              <w:top w:val="nil"/>
              <w:left w:val="nil"/>
              <w:bottom w:val="single" w:sz="8" w:space="0" w:color="auto"/>
              <w:right w:val="single" w:sz="8" w:space="0" w:color="auto"/>
            </w:tcBorders>
            <w:vAlign w:val="center"/>
            <w:hideMark/>
          </w:tcPr>
          <w:p w14:paraId="4872ED87" w14:textId="7D35881B"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5356E0" w:rsidRPr="005356E0">
              <w:rPr>
                <w:rFonts w:ascii="Aptos" w:eastAsia="Times New Roman" w:hAnsi="Aptos" w:cs="Times New Roman"/>
                <w:color w:val="000000"/>
                <w:kern w:val="0"/>
                <w:lang w:eastAsia="en-IE"/>
                <w14:ligatures w14:val="none"/>
              </w:rPr>
              <w:t>Reach Funding delivers funding to improve access and supports for educationally disadvantaged learners who participate in community education initiatives across Ireland.</w:t>
            </w:r>
          </w:p>
        </w:tc>
        <w:tc>
          <w:tcPr>
            <w:tcW w:w="3553" w:type="dxa"/>
            <w:tcBorders>
              <w:top w:val="nil"/>
              <w:left w:val="nil"/>
              <w:bottom w:val="single" w:sz="8" w:space="0" w:color="auto"/>
              <w:right w:val="single" w:sz="8" w:space="0" w:color="auto"/>
            </w:tcBorders>
            <w:vAlign w:val="center"/>
            <w:hideMark/>
          </w:tcPr>
          <w:p w14:paraId="7C0F2855" w14:textId="10F13E75"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5356E0">
              <w:rPr>
                <w:rFonts w:ascii="Aptos" w:eastAsia="Times New Roman" w:hAnsi="Aptos" w:cs="Times New Roman"/>
                <w:color w:val="000000"/>
                <w:kern w:val="0"/>
                <w:lang w:eastAsia="en-IE"/>
                <w14:ligatures w14:val="none"/>
              </w:rPr>
              <w:t xml:space="preserve">This Fund is administered by SOLAS and ETBs. Full details are available here: </w:t>
            </w:r>
            <w:hyperlink r:id="rId9" w:history="1">
              <w:r w:rsidR="005356E0" w:rsidRPr="005356E0">
                <w:rPr>
                  <w:rStyle w:val="Hyperlink"/>
                  <w:rFonts w:ascii="Aptos" w:eastAsia="Times New Roman" w:hAnsi="Aptos" w:cs="Times New Roman"/>
                  <w:kern w:val="0"/>
                  <w:lang w:eastAsia="en-IE"/>
                  <w14:ligatures w14:val="none"/>
                </w:rPr>
                <w:t>Solas | Reach Fund</w:t>
              </w:r>
            </w:hyperlink>
          </w:p>
        </w:tc>
        <w:tc>
          <w:tcPr>
            <w:tcW w:w="1843" w:type="dxa"/>
            <w:tcBorders>
              <w:top w:val="nil"/>
              <w:left w:val="nil"/>
              <w:bottom w:val="single" w:sz="8" w:space="0" w:color="auto"/>
              <w:right w:val="single" w:sz="8" w:space="0" w:color="auto"/>
            </w:tcBorders>
            <w:vAlign w:val="center"/>
            <w:hideMark/>
          </w:tcPr>
          <w:p w14:paraId="6C8B5257" w14:textId="0C8AD75B" w:rsidR="005E2593" w:rsidRPr="00B7662A" w:rsidRDefault="005E2593"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w:t>
            </w:r>
            <w:r w:rsidR="005356E0" w:rsidRPr="00B7662A">
              <w:rPr>
                <w:rFonts w:ascii="Aptos" w:eastAsia="Times New Roman" w:hAnsi="Aptos" w:cs="Times New Roman"/>
                <w:color w:val="000000"/>
                <w:kern w:val="0"/>
                <w:lang w:eastAsia="en-IE"/>
                <w14:ligatures w14:val="none"/>
              </w:rPr>
              <w:t xml:space="preserve">See link </w:t>
            </w:r>
          </w:p>
        </w:tc>
        <w:tc>
          <w:tcPr>
            <w:tcW w:w="1701" w:type="dxa"/>
            <w:tcBorders>
              <w:top w:val="nil"/>
              <w:left w:val="nil"/>
              <w:bottom w:val="single" w:sz="8" w:space="0" w:color="auto"/>
              <w:right w:val="single" w:sz="8" w:space="0" w:color="auto"/>
            </w:tcBorders>
            <w:vAlign w:val="center"/>
            <w:hideMark/>
          </w:tcPr>
          <w:p w14:paraId="37E2D169" w14:textId="223AD4F2" w:rsidR="005E2593" w:rsidRPr="00B7662A" w:rsidRDefault="005E2593" w:rsidP="005E2593">
            <w:pPr>
              <w:spacing w:after="0" w:line="240" w:lineRule="auto"/>
              <w:rPr>
                <w:rFonts w:ascii="Aptos" w:eastAsia="Times New Roman" w:hAnsi="Aptos" w:cs="Times New Roman"/>
                <w:color w:val="000000"/>
                <w:kern w:val="0"/>
                <w:lang w:eastAsia="en-IE"/>
                <w14:ligatures w14:val="none"/>
              </w:rPr>
            </w:pPr>
            <w:r w:rsidRPr="00B7662A">
              <w:rPr>
                <w:rFonts w:ascii="Aptos" w:eastAsia="Times New Roman" w:hAnsi="Aptos" w:cs="Times New Roman"/>
                <w:color w:val="000000"/>
                <w:kern w:val="0"/>
                <w:lang w:eastAsia="en-IE"/>
                <w14:ligatures w14:val="none"/>
              </w:rPr>
              <w:t> </w:t>
            </w:r>
            <w:r w:rsidR="005356E0" w:rsidRPr="00B7662A">
              <w:rPr>
                <w:rFonts w:ascii="Aptos" w:eastAsia="Times New Roman" w:hAnsi="Aptos" w:cs="Times New Roman"/>
                <w:color w:val="000000"/>
                <w:kern w:val="0"/>
                <w:lang w:eastAsia="en-IE"/>
                <w14:ligatures w14:val="none"/>
              </w:rPr>
              <w:t>See link</w:t>
            </w:r>
          </w:p>
        </w:tc>
      </w:tr>
      <w:tr w:rsidR="005E2593" w:rsidRPr="005E2593" w14:paraId="081D2AF8"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76F350C5" w14:textId="2355A198" w:rsidR="005E2593" w:rsidRPr="005E2593" w:rsidRDefault="005356E0" w:rsidP="005E2593">
            <w:pPr>
              <w:spacing w:after="0" w:line="240" w:lineRule="auto"/>
              <w:rPr>
                <w:rFonts w:ascii="Aptos" w:eastAsia="Times New Roman" w:hAnsi="Aptos" w:cs="Times New Roman"/>
                <w:color w:val="000000"/>
                <w:kern w:val="0"/>
                <w:lang w:eastAsia="en-IE"/>
                <w14:ligatures w14:val="none"/>
              </w:rPr>
            </w:pPr>
            <w:r>
              <w:rPr>
                <w:rFonts w:ascii="Aptos" w:eastAsia="Times New Roman" w:hAnsi="Aptos" w:cs="Times New Roman"/>
                <w:color w:val="000000"/>
                <w:kern w:val="0"/>
                <w:lang w:eastAsia="en-IE"/>
                <w14:ligatures w14:val="none"/>
              </w:rPr>
              <w:lastRenderedPageBreak/>
              <w:t>Collaboration and Innovation Fund</w:t>
            </w:r>
          </w:p>
        </w:tc>
        <w:tc>
          <w:tcPr>
            <w:tcW w:w="4952" w:type="dxa"/>
            <w:tcBorders>
              <w:top w:val="nil"/>
              <w:left w:val="nil"/>
              <w:bottom w:val="single" w:sz="8" w:space="0" w:color="auto"/>
              <w:right w:val="single" w:sz="8" w:space="0" w:color="auto"/>
            </w:tcBorders>
            <w:vAlign w:val="center"/>
            <w:hideMark/>
          </w:tcPr>
          <w:p w14:paraId="6F6E7A0B" w14:textId="0EA6CD36"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5356E0">
              <w:rPr>
                <w:rFonts w:ascii="Aptos" w:eastAsia="Times New Roman" w:hAnsi="Aptos" w:cs="Times New Roman"/>
                <w:color w:val="000000"/>
                <w:kern w:val="0"/>
                <w:lang w:eastAsia="en-IE"/>
                <w14:ligatures w14:val="none"/>
              </w:rPr>
              <w:t xml:space="preserve">The </w:t>
            </w:r>
            <w:r w:rsidR="005356E0" w:rsidRPr="005356E0">
              <w:rPr>
                <w:rFonts w:ascii="Aptos" w:eastAsia="Times New Roman" w:hAnsi="Aptos" w:cs="Times New Roman"/>
                <w:color w:val="000000"/>
                <w:kern w:val="0"/>
                <w:lang w:eastAsia="en-IE"/>
                <w14:ligatures w14:val="none"/>
              </w:rPr>
              <w:t>purpose</w:t>
            </w:r>
            <w:r w:rsidR="005356E0">
              <w:rPr>
                <w:rFonts w:ascii="Aptos" w:eastAsia="Times New Roman" w:hAnsi="Aptos" w:cs="Times New Roman"/>
                <w:color w:val="000000"/>
                <w:kern w:val="0"/>
                <w:lang w:eastAsia="en-IE"/>
                <w14:ligatures w14:val="none"/>
              </w:rPr>
              <w:t xml:space="preserve"> of this Fund</w:t>
            </w:r>
            <w:r w:rsidR="005356E0" w:rsidRPr="005356E0">
              <w:rPr>
                <w:rFonts w:ascii="Aptos" w:eastAsia="Times New Roman" w:hAnsi="Aptos" w:cs="Times New Roman"/>
                <w:color w:val="000000"/>
                <w:kern w:val="0"/>
                <w:lang w:eastAsia="en-IE"/>
                <w14:ligatures w14:val="none"/>
              </w:rPr>
              <w:t xml:space="preserve"> is to support a more inclusive and equal society by awarding collaborative and innovative projects that support adults with unmet literacy, numeracy and digital literacy needs.</w:t>
            </w:r>
          </w:p>
        </w:tc>
        <w:tc>
          <w:tcPr>
            <w:tcW w:w="3553" w:type="dxa"/>
            <w:tcBorders>
              <w:top w:val="nil"/>
              <w:left w:val="nil"/>
              <w:bottom w:val="single" w:sz="8" w:space="0" w:color="auto"/>
              <w:right w:val="single" w:sz="8" w:space="0" w:color="auto"/>
            </w:tcBorders>
            <w:vAlign w:val="center"/>
            <w:hideMark/>
          </w:tcPr>
          <w:p w14:paraId="7C4CE829" w14:textId="7C612088"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5356E0">
              <w:rPr>
                <w:rFonts w:ascii="Aptos" w:eastAsia="Times New Roman" w:hAnsi="Aptos" w:cs="Times New Roman"/>
                <w:color w:val="000000"/>
                <w:kern w:val="0"/>
                <w:lang w:eastAsia="en-IE"/>
                <w14:ligatures w14:val="none"/>
              </w:rPr>
              <w:t xml:space="preserve">This Fund is administered by SOLAS and Adult Literacy for Life (ALL). Full details are available here: </w:t>
            </w:r>
            <w:hyperlink r:id="rId10" w:history="1">
              <w:r w:rsidR="005356E0" w:rsidRPr="005356E0">
                <w:rPr>
                  <w:rStyle w:val="Hyperlink"/>
                  <w:rFonts w:ascii="Aptos" w:eastAsia="Times New Roman" w:hAnsi="Aptos" w:cs="Times New Roman"/>
                  <w:kern w:val="0"/>
                  <w:lang w:eastAsia="en-IE"/>
                  <w14:ligatures w14:val="none"/>
                </w:rPr>
                <w:t>Solas | Learning Works | Collaboration and Innovation Fund 2026 Launched to support adults with unmet literacy needs</w:t>
              </w:r>
            </w:hyperlink>
          </w:p>
        </w:tc>
        <w:tc>
          <w:tcPr>
            <w:tcW w:w="1843" w:type="dxa"/>
            <w:tcBorders>
              <w:top w:val="nil"/>
              <w:left w:val="nil"/>
              <w:bottom w:val="single" w:sz="8" w:space="0" w:color="auto"/>
              <w:right w:val="single" w:sz="8" w:space="0" w:color="auto"/>
            </w:tcBorders>
            <w:vAlign w:val="center"/>
            <w:hideMark/>
          </w:tcPr>
          <w:p w14:paraId="2D7369F4" w14:textId="5905081A" w:rsidR="005E2593" w:rsidRPr="005E2593" w:rsidRDefault="005E2593" w:rsidP="005E2593">
            <w:pPr>
              <w:spacing w:after="0" w:line="240" w:lineRule="auto"/>
              <w:rPr>
                <w:rFonts w:ascii="Aptos" w:eastAsia="Times New Roman" w:hAnsi="Aptos" w:cs="Times New Roman"/>
                <w:color w:val="000000"/>
                <w:kern w:val="0"/>
                <w:lang w:eastAsia="en-IE"/>
                <w14:ligatures w14:val="none"/>
              </w:rPr>
            </w:pPr>
            <w:r w:rsidRPr="005E2593">
              <w:rPr>
                <w:rFonts w:ascii="Aptos" w:eastAsia="Times New Roman" w:hAnsi="Aptos" w:cs="Times New Roman"/>
                <w:color w:val="000000"/>
                <w:kern w:val="0"/>
                <w:lang w:eastAsia="en-IE"/>
                <w14:ligatures w14:val="none"/>
              </w:rPr>
              <w:t> </w:t>
            </w:r>
            <w:r w:rsidR="002E5F69">
              <w:rPr>
                <w:rFonts w:ascii="Aptos" w:eastAsia="Times New Roman" w:hAnsi="Aptos" w:cs="Times New Roman"/>
                <w:color w:val="000000"/>
                <w:kern w:val="0"/>
                <w:lang w:eastAsia="en-IE"/>
                <w14:ligatures w14:val="none"/>
              </w:rPr>
              <w:t>See link</w:t>
            </w:r>
          </w:p>
        </w:tc>
        <w:tc>
          <w:tcPr>
            <w:tcW w:w="1701" w:type="dxa"/>
            <w:tcBorders>
              <w:top w:val="nil"/>
              <w:left w:val="nil"/>
              <w:bottom w:val="single" w:sz="8" w:space="0" w:color="auto"/>
              <w:right w:val="single" w:sz="8" w:space="0" w:color="auto"/>
            </w:tcBorders>
            <w:vAlign w:val="center"/>
            <w:hideMark/>
          </w:tcPr>
          <w:p w14:paraId="3FB46F43" w14:textId="6703460B" w:rsidR="005E2593" w:rsidRPr="005E2593" w:rsidRDefault="005356E0" w:rsidP="005E2593">
            <w:pPr>
              <w:spacing w:after="0" w:line="240" w:lineRule="auto"/>
              <w:rPr>
                <w:rFonts w:ascii="Aptos" w:eastAsia="Times New Roman" w:hAnsi="Aptos" w:cs="Times New Roman"/>
                <w:color w:val="000000"/>
                <w:kern w:val="0"/>
                <w:lang w:eastAsia="en-IE"/>
                <w14:ligatures w14:val="none"/>
              </w:rPr>
            </w:pPr>
            <w:r>
              <w:rPr>
                <w:rFonts w:ascii="Aptos" w:eastAsia="Times New Roman" w:hAnsi="Aptos" w:cs="Times New Roman"/>
                <w:color w:val="000000"/>
                <w:kern w:val="0"/>
                <w:lang w:eastAsia="en-IE"/>
                <w14:ligatures w14:val="none"/>
              </w:rPr>
              <w:t>Applications for this Fund closed on 22</w:t>
            </w:r>
            <w:r w:rsidRPr="005356E0">
              <w:rPr>
                <w:rFonts w:ascii="Aptos" w:eastAsia="Times New Roman" w:hAnsi="Aptos" w:cs="Times New Roman"/>
                <w:color w:val="000000"/>
                <w:kern w:val="0"/>
                <w:vertAlign w:val="superscript"/>
                <w:lang w:eastAsia="en-IE"/>
                <w14:ligatures w14:val="none"/>
              </w:rPr>
              <w:t>nd</w:t>
            </w:r>
            <w:r>
              <w:rPr>
                <w:rFonts w:ascii="Aptos" w:eastAsia="Times New Roman" w:hAnsi="Aptos" w:cs="Times New Roman"/>
                <w:color w:val="000000"/>
                <w:kern w:val="0"/>
                <w:lang w:eastAsia="en-IE"/>
                <w14:ligatures w14:val="none"/>
              </w:rPr>
              <w:t xml:space="preserve"> January 2026.</w:t>
            </w:r>
          </w:p>
        </w:tc>
      </w:tr>
      <w:tr w:rsidR="006C2C98" w:rsidRPr="006C2C98" w14:paraId="3BF2D515"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2D2E544D"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Student Assistance Fund (SAF)</w:t>
            </w:r>
          </w:p>
        </w:tc>
        <w:tc>
          <w:tcPr>
            <w:tcW w:w="4952" w:type="dxa"/>
            <w:tcBorders>
              <w:top w:val="nil"/>
              <w:left w:val="nil"/>
              <w:bottom w:val="single" w:sz="8" w:space="0" w:color="auto"/>
              <w:right w:val="single" w:sz="8" w:space="0" w:color="auto"/>
            </w:tcBorders>
            <w:vAlign w:val="center"/>
            <w:hideMark/>
          </w:tcPr>
          <w:p w14:paraId="6564D8E6" w14:textId="00A38531"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The HEA allocates SAF funding to higher education institutions on behalf of DFHERIS. SAF is allocated to HEIs and has a dual focus: supporting students from socio-economically disadvantaged backgrounds with ongoing financial support needs and providing emergency financial assistance for other students. Eligible students must be registered on higher education courses of not less than one year leading to an NFQ level 6–10 higher education award. PhD students are eligible during the first four years, with later years considered case by case. Springboard+/HCI, blended/distance learning, and eligible tertiary-programme students may apply subject to the criteria. International/non-EU fee-paying students are not eligible; students do not have to receive a SUSI grant to be eligible. A list of higher education institutions currently funded under the SAF is provided in </w:t>
            </w:r>
            <w:hyperlink r:id="rId11" w:history="1">
              <w:r w:rsidRPr="00AD1264">
                <w:rPr>
                  <w:rStyle w:val="Hyperlink"/>
                  <w:rFonts w:ascii="Aptos" w:eastAsia="Times New Roman" w:hAnsi="Aptos" w:cs="Times New Roman"/>
                  <w:kern w:val="0"/>
                  <w:lang w:eastAsia="en-IE"/>
                  <w14:ligatures w14:val="none"/>
                </w:rPr>
                <w:t>Appendix 2 of the guidelines</w:t>
              </w:r>
            </w:hyperlink>
            <w:r w:rsidRPr="006C2C98">
              <w:rPr>
                <w:rFonts w:ascii="Aptos" w:eastAsia="Times New Roman" w:hAnsi="Aptos" w:cs="Times New Roman"/>
                <w:color w:val="000000"/>
                <w:kern w:val="0"/>
                <w:lang w:eastAsia="en-IE"/>
                <w14:ligatures w14:val="none"/>
              </w:rPr>
              <w:t xml:space="preserve">. </w:t>
            </w:r>
          </w:p>
        </w:tc>
        <w:tc>
          <w:tcPr>
            <w:tcW w:w="3553" w:type="dxa"/>
            <w:tcBorders>
              <w:top w:val="nil"/>
              <w:left w:val="nil"/>
              <w:bottom w:val="single" w:sz="8" w:space="0" w:color="auto"/>
              <w:right w:val="single" w:sz="8" w:space="0" w:color="auto"/>
            </w:tcBorders>
            <w:vAlign w:val="center"/>
            <w:hideMark/>
          </w:tcPr>
          <w:p w14:paraId="68E1E1F8"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Students should first engage with the Access Office / relevant student support service in their institution. The institution administers the SAF locally, assesses student applications confidentially, and applies the guideline criteria when allocating funds provided by the HEA.</w:t>
            </w:r>
          </w:p>
        </w:tc>
        <w:tc>
          <w:tcPr>
            <w:tcW w:w="1843" w:type="dxa"/>
            <w:tcBorders>
              <w:top w:val="nil"/>
              <w:left w:val="nil"/>
              <w:bottom w:val="single" w:sz="8" w:space="0" w:color="auto"/>
              <w:right w:val="single" w:sz="8" w:space="0" w:color="auto"/>
            </w:tcBorders>
            <w:vAlign w:val="center"/>
            <w:hideMark/>
          </w:tcPr>
          <w:p w14:paraId="3CA6CEF2" w14:textId="190926FF"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Guidelines for 2026/27 </w:t>
            </w:r>
            <w:r w:rsidR="00AD1264">
              <w:rPr>
                <w:rFonts w:ascii="Aptos" w:eastAsia="Times New Roman" w:hAnsi="Aptos" w:cs="Times New Roman"/>
                <w:color w:val="000000"/>
                <w:kern w:val="0"/>
                <w:lang w:eastAsia="en-IE"/>
                <w14:ligatures w14:val="none"/>
              </w:rPr>
              <w:t>will</w:t>
            </w:r>
            <w:r w:rsidRPr="006C2C98">
              <w:rPr>
                <w:rFonts w:ascii="Aptos" w:eastAsia="Times New Roman" w:hAnsi="Aptos" w:cs="Times New Roman"/>
                <w:color w:val="000000"/>
                <w:kern w:val="0"/>
                <w:lang w:eastAsia="en-IE"/>
                <w14:ligatures w14:val="none"/>
              </w:rPr>
              <w:t xml:space="preserve"> be published in the coming months. Opening and closing dates for the funding is set by each individual HEI. Funding is allocated and paid to HEIs in October and November each year. </w:t>
            </w:r>
          </w:p>
        </w:tc>
        <w:tc>
          <w:tcPr>
            <w:tcW w:w="1701" w:type="dxa"/>
            <w:tcBorders>
              <w:top w:val="nil"/>
              <w:left w:val="nil"/>
              <w:bottom w:val="single" w:sz="8" w:space="0" w:color="auto"/>
              <w:right w:val="single" w:sz="8" w:space="0" w:color="auto"/>
            </w:tcBorders>
            <w:vAlign w:val="center"/>
            <w:hideMark/>
          </w:tcPr>
          <w:p w14:paraId="665DEA4F" w14:textId="51ADF208"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Guidelines for 2026/27 </w:t>
            </w:r>
            <w:r w:rsidR="00AD1264">
              <w:rPr>
                <w:rFonts w:ascii="Aptos" w:eastAsia="Times New Roman" w:hAnsi="Aptos" w:cs="Times New Roman"/>
                <w:color w:val="000000"/>
                <w:kern w:val="0"/>
                <w:lang w:eastAsia="en-IE"/>
                <w14:ligatures w14:val="none"/>
              </w:rPr>
              <w:t>will</w:t>
            </w:r>
            <w:r w:rsidRPr="006C2C98">
              <w:rPr>
                <w:rFonts w:ascii="Aptos" w:eastAsia="Times New Roman" w:hAnsi="Aptos" w:cs="Times New Roman"/>
                <w:color w:val="000000"/>
                <w:kern w:val="0"/>
                <w:lang w:eastAsia="en-IE"/>
                <w14:ligatures w14:val="none"/>
              </w:rPr>
              <w:t xml:space="preserve"> be published in the coming months. Opening and closing dates for the funding is set by each individual HEI.</w:t>
            </w:r>
          </w:p>
        </w:tc>
      </w:tr>
      <w:tr w:rsidR="006C2C98" w:rsidRPr="006C2C98" w14:paraId="1C3F3F56"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6DE54E2F"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lastRenderedPageBreak/>
              <w:t>Fund for Students with Disabilities (FSD) — Ireland</w:t>
            </w:r>
          </w:p>
        </w:tc>
        <w:tc>
          <w:tcPr>
            <w:tcW w:w="4952" w:type="dxa"/>
            <w:tcBorders>
              <w:top w:val="nil"/>
              <w:left w:val="nil"/>
              <w:bottom w:val="single" w:sz="8" w:space="0" w:color="auto"/>
              <w:right w:val="single" w:sz="8" w:space="0" w:color="auto"/>
            </w:tcBorders>
            <w:vAlign w:val="center"/>
            <w:hideMark/>
          </w:tcPr>
          <w:p w14:paraId="10F54CD3" w14:textId="02C4A500"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The FSD provides resources to HEIs for services and supports for eligible students with disabilities on full-time and part-time courses. To be eligible for support under FSD, a student must have a verifiable disability, meet nationality and residency criteria, be on an approved full-time or part-time course, and have a verified need for specific supports to enable participation. A list of approved </w:t>
            </w:r>
            <w:hyperlink r:id="rId12" w:history="1">
              <w:r w:rsidRPr="00AD1264">
                <w:rPr>
                  <w:rStyle w:val="Hyperlink"/>
                  <w:rFonts w:ascii="Aptos" w:eastAsia="Times New Roman" w:hAnsi="Aptos" w:cs="Times New Roman"/>
                  <w:kern w:val="0"/>
                  <w:lang w:eastAsia="en-IE"/>
                  <w14:ligatures w14:val="none"/>
                </w:rPr>
                <w:t>HEIs is provided in Appendix 3 of the guidelines</w:t>
              </w:r>
            </w:hyperlink>
            <w:r w:rsidRPr="006C2C98">
              <w:rPr>
                <w:rFonts w:ascii="Aptos" w:eastAsia="Times New Roman" w:hAnsi="Aptos" w:cs="Times New Roman"/>
                <w:color w:val="000000"/>
                <w:kern w:val="0"/>
                <w:lang w:eastAsia="en-IE"/>
                <w14:ligatures w14:val="none"/>
              </w:rPr>
              <w:t>. It should be noted that the funding is not allocated to the individual student.</w:t>
            </w:r>
          </w:p>
        </w:tc>
        <w:tc>
          <w:tcPr>
            <w:tcW w:w="3553" w:type="dxa"/>
            <w:tcBorders>
              <w:top w:val="nil"/>
              <w:left w:val="nil"/>
              <w:bottom w:val="single" w:sz="8" w:space="0" w:color="auto"/>
              <w:right w:val="single" w:sz="8" w:space="0" w:color="auto"/>
            </w:tcBorders>
            <w:vAlign w:val="center"/>
            <w:hideMark/>
          </w:tcPr>
          <w:p w14:paraId="2D90F5EC"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HEIs complete a needs assessment with the student before requesting supports or services. Disability support staff determine appropriate supports, and FSD funding may be used for eligible supports such as assistive technology, non-medical helpers, academic/learning support, supports for students who are deaf or hard of hearing, and transport support. HEIs must submit the Resource Allocation Return to the HEA. The fund is paid to HEIs to manage supports for students rather than directly to students.</w:t>
            </w:r>
          </w:p>
        </w:tc>
        <w:tc>
          <w:tcPr>
            <w:tcW w:w="1843" w:type="dxa"/>
            <w:tcBorders>
              <w:top w:val="nil"/>
              <w:left w:val="nil"/>
              <w:bottom w:val="single" w:sz="8" w:space="0" w:color="auto"/>
              <w:right w:val="single" w:sz="8" w:space="0" w:color="auto"/>
            </w:tcBorders>
            <w:vAlign w:val="center"/>
            <w:hideMark/>
          </w:tcPr>
          <w:p w14:paraId="2D372C36" w14:textId="7CB95BB4"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Guidelines for 2026/27 </w:t>
            </w:r>
            <w:r w:rsidR="00AD1264">
              <w:rPr>
                <w:rFonts w:ascii="Aptos" w:eastAsia="Times New Roman" w:hAnsi="Aptos" w:cs="Times New Roman"/>
                <w:color w:val="000000"/>
                <w:kern w:val="0"/>
                <w:lang w:eastAsia="en-IE"/>
                <w14:ligatures w14:val="none"/>
              </w:rPr>
              <w:t>will</w:t>
            </w:r>
            <w:r w:rsidRPr="006C2C98">
              <w:rPr>
                <w:rFonts w:ascii="Aptos" w:eastAsia="Times New Roman" w:hAnsi="Aptos" w:cs="Times New Roman"/>
                <w:color w:val="000000"/>
                <w:kern w:val="0"/>
                <w:lang w:eastAsia="en-IE"/>
                <w14:ligatures w14:val="none"/>
              </w:rPr>
              <w:t xml:space="preserve"> be published in the coming months. </w:t>
            </w:r>
          </w:p>
        </w:tc>
        <w:tc>
          <w:tcPr>
            <w:tcW w:w="1701" w:type="dxa"/>
            <w:tcBorders>
              <w:top w:val="nil"/>
              <w:left w:val="nil"/>
              <w:bottom w:val="single" w:sz="8" w:space="0" w:color="auto"/>
              <w:right w:val="single" w:sz="8" w:space="0" w:color="auto"/>
            </w:tcBorders>
            <w:vAlign w:val="center"/>
            <w:hideMark/>
          </w:tcPr>
          <w:p w14:paraId="38A7E66A" w14:textId="3BDE7BB4"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Guidelines for 2026/27 </w:t>
            </w:r>
            <w:r w:rsidR="00AD1264">
              <w:rPr>
                <w:rFonts w:ascii="Aptos" w:eastAsia="Times New Roman" w:hAnsi="Aptos" w:cs="Times New Roman"/>
                <w:color w:val="000000"/>
                <w:kern w:val="0"/>
                <w:lang w:eastAsia="en-IE"/>
                <w14:ligatures w14:val="none"/>
              </w:rPr>
              <w:t xml:space="preserve">will </w:t>
            </w:r>
            <w:r w:rsidRPr="006C2C98">
              <w:rPr>
                <w:rFonts w:ascii="Aptos" w:eastAsia="Times New Roman" w:hAnsi="Aptos" w:cs="Times New Roman"/>
                <w:color w:val="000000"/>
                <w:kern w:val="0"/>
                <w:lang w:eastAsia="en-IE"/>
                <w14:ligatures w14:val="none"/>
              </w:rPr>
              <w:t>be published in the coming months.</w:t>
            </w:r>
          </w:p>
        </w:tc>
      </w:tr>
      <w:tr w:rsidR="006C2C98" w:rsidRPr="006C2C98" w14:paraId="39BC443C"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416D7D04"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Fund for Students with Disabilities (FSD) — UK / EEA / Switzerland</w:t>
            </w:r>
          </w:p>
        </w:tc>
        <w:tc>
          <w:tcPr>
            <w:tcW w:w="4952" w:type="dxa"/>
            <w:tcBorders>
              <w:top w:val="nil"/>
              <w:left w:val="nil"/>
              <w:bottom w:val="single" w:sz="8" w:space="0" w:color="auto"/>
              <w:right w:val="single" w:sz="8" w:space="0" w:color="auto"/>
            </w:tcBorders>
            <w:vAlign w:val="center"/>
            <w:hideMark/>
          </w:tcPr>
          <w:p w14:paraId="2061D3D4"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The FSD allocates funding to HEIs for services and supports for full-time Irish students with disabilities studying in publicly funded institutions in EEA member states, the United Kingdom and Switzerland, as well as eligible students in Northern Ireland. To be eligible, a student must have a verifiable disability, meet nationality and residency criteria, be on an approved full-time undergraduate course in a publicly funded institution, or a full-time undergraduate/postgraduate course in </w:t>
            </w:r>
            <w:r w:rsidRPr="006C2C98">
              <w:rPr>
                <w:rFonts w:ascii="Aptos" w:eastAsia="Times New Roman" w:hAnsi="Aptos" w:cs="Times New Roman"/>
                <w:color w:val="000000"/>
                <w:kern w:val="0"/>
                <w:lang w:eastAsia="en-IE"/>
                <w14:ligatures w14:val="none"/>
              </w:rPr>
              <w:lastRenderedPageBreak/>
              <w:t>Northern Ireland, and have a verified need for specific supports.</w:t>
            </w:r>
          </w:p>
        </w:tc>
        <w:tc>
          <w:tcPr>
            <w:tcW w:w="3553" w:type="dxa"/>
            <w:tcBorders>
              <w:top w:val="nil"/>
              <w:left w:val="nil"/>
              <w:bottom w:val="single" w:sz="8" w:space="0" w:color="auto"/>
              <w:right w:val="single" w:sz="8" w:space="0" w:color="auto"/>
            </w:tcBorders>
            <w:vAlign w:val="center"/>
            <w:hideMark/>
          </w:tcPr>
          <w:p w14:paraId="64082988"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lastRenderedPageBreak/>
              <w:t>Institutions request application forms and collated returns from the HEA by emailing fsd@hea.ie. Applications are submitted by the institution on the standard form with required medical evidence and the institutional return. HEIs complete a needs assessment with the student before requesting supports.</w:t>
            </w:r>
          </w:p>
        </w:tc>
        <w:tc>
          <w:tcPr>
            <w:tcW w:w="1843" w:type="dxa"/>
            <w:tcBorders>
              <w:top w:val="nil"/>
              <w:left w:val="nil"/>
              <w:bottom w:val="single" w:sz="8" w:space="0" w:color="auto"/>
              <w:right w:val="single" w:sz="8" w:space="0" w:color="auto"/>
            </w:tcBorders>
            <w:vAlign w:val="center"/>
            <w:hideMark/>
          </w:tcPr>
          <w:p w14:paraId="282E251E" w14:textId="11124023"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Guidelines for 2026/27</w:t>
            </w:r>
            <w:r w:rsidR="00AD1264">
              <w:rPr>
                <w:rFonts w:ascii="Aptos" w:eastAsia="Times New Roman" w:hAnsi="Aptos" w:cs="Times New Roman"/>
                <w:color w:val="000000"/>
                <w:kern w:val="0"/>
                <w:lang w:eastAsia="en-IE"/>
                <w14:ligatures w14:val="none"/>
              </w:rPr>
              <w:t xml:space="preserve"> will</w:t>
            </w:r>
            <w:r w:rsidRPr="006C2C98">
              <w:rPr>
                <w:rFonts w:ascii="Aptos" w:eastAsia="Times New Roman" w:hAnsi="Aptos" w:cs="Times New Roman"/>
                <w:color w:val="000000"/>
                <w:kern w:val="0"/>
                <w:lang w:eastAsia="en-IE"/>
                <w14:ligatures w14:val="none"/>
              </w:rPr>
              <w:t xml:space="preserve"> be published in the coming months and circulated to HEIs thereafter. </w:t>
            </w:r>
          </w:p>
        </w:tc>
        <w:tc>
          <w:tcPr>
            <w:tcW w:w="1701" w:type="dxa"/>
            <w:tcBorders>
              <w:top w:val="nil"/>
              <w:left w:val="nil"/>
              <w:bottom w:val="single" w:sz="8" w:space="0" w:color="auto"/>
              <w:right w:val="single" w:sz="8" w:space="0" w:color="auto"/>
            </w:tcBorders>
            <w:vAlign w:val="center"/>
            <w:hideMark/>
          </w:tcPr>
          <w:p w14:paraId="0D52BA28" w14:textId="33E489CD"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Guidelines for 2026/27 </w:t>
            </w:r>
            <w:r w:rsidR="00AD1264">
              <w:rPr>
                <w:rFonts w:ascii="Aptos" w:eastAsia="Times New Roman" w:hAnsi="Aptos" w:cs="Times New Roman"/>
                <w:color w:val="000000"/>
                <w:kern w:val="0"/>
                <w:lang w:eastAsia="en-IE"/>
                <w14:ligatures w14:val="none"/>
              </w:rPr>
              <w:t>will</w:t>
            </w:r>
            <w:r w:rsidRPr="006C2C98">
              <w:rPr>
                <w:rFonts w:ascii="Aptos" w:eastAsia="Times New Roman" w:hAnsi="Aptos" w:cs="Times New Roman"/>
                <w:color w:val="000000"/>
                <w:kern w:val="0"/>
                <w:lang w:eastAsia="en-IE"/>
                <w14:ligatures w14:val="none"/>
              </w:rPr>
              <w:t xml:space="preserve"> be published in the coming months. There are 2 closing dates for Institutions to submit applications to the HEA - </w:t>
            </w:r>
            <w:r w:rsidRPr="006C2C98">
              <w:rPr>
                <w:rFonts w:ascii="Aptos" w:eastAsia="Times New Roman" w:hAnsi="Aptos" w:cs="Times New Roman"/>
                <w:color w:val="000000"/>
                <w:kern w:val="0"/>
                <w:lang w:eastAsia="en-IE"/>
                <w14:ligatures w14:val="none"/>
              </w:rPr>
              <w:lastRenderedPageBreak/>
              <w:t>the end of October and the end of November.</w:t>
            </w:r>
          </w:p>
        </w:tc>
      </w:tr>
      <w:tr w:rsidR="006C2C98" w:rsidRPr="006C2C98" w14:paraId="24BF8CE8"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06927204"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lastRenderedPageBreak/>
              <w:t>Government of Ireland International Education Scholarships</w:t>
            </w:r>
          </w:p>
        </w:tc>
        <w:tc>
          <w:tcPr>
            <w:tcW w:w="4952" w:type="dxa"/>
            <w:tcBorders>
              <w:top w:val="nil"/>
              <w:left w:val="nil"/>
              <w:bottom w:val="single" w:sz="8" w:space="0" w:color="auto"/>
              <w:right w:val="single" w:sz="8" w:space="0" w:color="auto"/>
            </w:tcBorders>
            <w:vAlign w:val="center"/>
            <w:hideMark/>
          </w:tcPr>
          <w:p w14:paraId="3B2CAA1E"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hyperlink r:id="rId13" w:history="1">
              <w:r w:rsidRPr="006C2C98">
                <w:rPr>
                  <w:rStyle w:val="Hyperlink"/>
                  <w:rFonts w:ascii="Aptos" w:eastAsia="Times New Roman" w:hAnsi="Aptos" w:cs="Times New Roman"/>
                  <w:kern w:val="0"/>
                  <w:lang w:eastAsia="en-IE"/>
                  <w14:ligatures w14:val="none"/>
                </w:rPr>
                <w:t> https://hea.ie/policy/internationalisation/goi-ies/</w:t>
              </w:r>
            </w:hyperlink>
          </w:p>
        </w:tc>
        <w:tc>
          <w:tcPr>
            <w:tcW w:w="3553" w:type="dxa"/>
            <w:tcBorders>
              <w:top w:val="nil"/>
              <w:left w:val="nil"/>
              <w:bottom w:val="single" w:sz="8" w:space="0" w:color="auto"/>
              <w:right w:val="single" w:sz="8" w:space="0" w:color="auto"/>
            </w:tcBorders>
            <w:vAlign w:val="center"/>
            <w:hideMark/>
          </w:tcPr>
          <w:p w14:paraId="3B871040"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 Potential applicants should read the call documentation carefully to ascertain whether they are eligible to apply. Applications must be submitted via the 2026 GOI-IES online application portal, which can be accessed by clicking on “Apply here” at the top of this page. A maximum of one application per candidate may be submitted in the 2026 cycle of the GOI-IES programme. All applications require two references to be uploaded by the applicants via the online portal. It is recommended that candidates submit their applications well before the deadline, to avoid technical issues due to heavy server traffic on the respective day. Applications cannot be submitted once the deadline has passed. No alterations can </w:t>
            </w:r>
            <w:r w:rsidRPr="006C2C98">
              <w:rPr>
                <w:rFonts w:ascii="Aptos" w:eastAsia="Times New Roman" w:hAnsi="Aptos" w:cs="Times New Roman"/>
                <w:color w:val="000000"/>
                <w:kern w:val="0"/>
                <w:lang w:eastAsia="en-IE"/>
                <w14:ligatures w14:val="none"/>
              </w:rPr>
              <w:lastRenderedPageBreak/>
              <w:t>be made to an application once it has been submitted.</w:t>
            </w:r>
          </w:p>
        </w:tc>
        <w:tc>
          <w:tcPr>
            <w:tcW w:w="1843" w:type="dxa"/>
            <w:tcBorders>
              <w:top w:val="nil"/>
              <w:left w:val="nil"/>
              <w:bottom w:val="single" w:sz="8" w:space="0" w:color="auto"/>
              <w:right w:val="single" w:sz="8" w:space="0" w:color="auto"/>
            </w:tcBorders>
            <w:vAlign w:val="center"/>
            <w:hideMark/>
          </w:tcPr>
          <w:p w14:paraId="47872870"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lastRenderedPageBreak/>
              <w:t> 29 January 2026</w:t>
            </w:r>
          </w:p>
        </w:tc>
        <w:tc>
          <w:tcPr>
            <w:tcW w:w="1701" w:type="dxa"/>
            <w:tcBorders>
              <w:top w:val="nil"/>
              <w:left w:val="nil"/>
              <w:bottom w:val="single" w:sz="8" w:space="0" w:color="auto"/>
              <w:right w:val="single" w:sz="8" w:space="0" w:color="auto"/>
            </w:tcBorders>
            <w:vAlign w:val="center"/>
            <w:hideMark/>
          </w:tcPr>
          <w:p w14:paraId="27272B94"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12 March 2026</w:t>
            </w:r>
          </w:p>
        </w:tc>
      </w:tr>
      <w:tr w:rsidR="006C2C98" w:rsidRPr="006C2C98" w14:paraId="23A1C868" w14:textId="77777777" w:rsidTr="006C2C98">
        <w:trPr>
          <w:trHeight w:val="330"/>
        </w:trPr>
        <w:tc>
          <w:tcPr>
            <w:tcW w:w="1980" w:type="dxa"/>
            <w:tcBorders>
              <w:top w:val="nil"/>
              <w:left w:val="single" w:sz="8" w:space="0" w:color="auto"/>
              <w:bottom w:val="single" w:sz="8" w:space="0" w:color="auto"/>
              <w:right w:val="single" w:sz="8" w:space="0" w:color="auto"/>
            </w:tcBorders>
            <w:vAlign w:val="center"/>
            <w:hideMark/>
          </w:tcPr>
          <w:p w14:paraId="638D6656"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PATH 2 1916 Bursary</w:t>
            </w:r>
          </w:p>
        </w:tc>
        <w:tc>
          <w:tcPr>
            <w:tcW w:w="4952" w:type="dxa"/>
            <w:tcBorders>
              <w:top w:val="nil"/>
              <w:left w:val="nil"/>
              <w:bottom w:val="single" w:sz="8" w:space="0" w:color="auto"/>
              <w:right w:val="single" w:sz="8" w:space="0" w:color="auto"/>
            </w:tcBorders>
            <w:vAlign w:val="center"/>
            <w:hideMark/>
          </w:tcPr>
          <w:p w14:paraId="429BEB13" w14:textId="6FEF83B2"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The PATH 2 1916 Bursary Fund is designed to encourage participation and success in higher education by students who are the most socioeconomically disadvantaged and who are from communities significantly underrepresented in higher education in accordance with the National Access Plan 2022-2028 and the eligibility criteria set out in the 1916 Bursary Guidelines see </w:t>
            </w:r>
            <w:hyperlink r:id="rId14" w:history="1">
              <w:r w:rsidRPr="00043FD7">
                <w:rPr>
                  <w:rStyle w:val="Hyperlink"/>
                  <w:rFonts w:ascii="Aptos" w:eastAsia="Times New Roman" w:hAnsi="Aptos" w:cs="Times New Roman"/>
                  <w:kern w:val="0"/>
                  <w:lang w:eastAsia="en-IE"/>
                  <w14:ligatures w14:val="none"/>
                </w:rPr>
                <w:t>https://1916bursary.ie/</w:t>
              </w:r>
            </w:hyperlink>
            <w:r>
              <w:rPr>
                <w:rFonts w:ascii="Aptos" w:eastAsia="Times New Roman" w:hAnsi="Aptos" w:cs="Times New Roman"/>
                <w:color w:val="000000"/>
                <w:kern w:val="0"/>
                <w:lang w:eastAsia="en-IE"/>
                <w14:ligatures w14:val="none"/>
              </w:rPr>
              <w:t xml:space="preserve"> </w:t>
            </w:r>
          </w:p>
        </w:tc>
        <w:tc>
          <w:tcPr>
            <w:tcW w:w="3553" w:type="dxa"/>
            <w:tcBorders>
              <w:top w:val="nil"/>
              <w:left w:val="nil"/>
              <w:bottom w:val="single" w:sz="8" w:space="0" w:color="auto"/>
              <w:right w:val="single" w:sz="8" w:space="0" w:color="auto"/>
            </w:tcBorders>
            <w:vAlign w:val="center"/>
            <w:hideMark/>
          </w:tcPr>
          <w:p w14:paraId="72961F13"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 xml:space="preserve"> The 1916 Bursary provides direct financial support to students with 600 bursaries awarded per year with the support of co-funding from the European Social Fund (ESF+). The HEA allocates funding in support of the 1916 Bursary to higher education institutions on behalf of DFHERIS, with the application and assessment process managed by SUSI. </w:t>
            </w:r>
          </w:p>
        </w:tc>
        <w:tc>
          <w:tcPr>
            <w:tcW w:w="1843" w:type="dxa"/>
            <w:tcBorders>
              <w:top w:val="nil"/>
              <w:left w:val="nil"/>
              <w:bottom w:val="single" w:sz="8" w:space="0" w:color="auto"/>
              <w:right w:val="single" w:sz="8" w:space="0" w:color="auto"/>
            </w:tcBorders>
            <w:vAlign w:val="center"/>
            <w:hideMark/>
          </w:tcPr>
          <w:p w14:paraId="043320AE"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To be confirmed exact date in September 2026</w:t>
            </w:r>
          </w:p>
        </w:tc>
        <w:tc>
          <w:tcPr>
            <w:tcW w:w="1701" w:type="dxa"/>
            <w:tcBorders>
              <w:top w:val="nil"/>
              <w:left w:val="nil"/>
              <w:bottom w:val="single" w:sz="8" w:space="0" w:color="auto"/>
              <w:right w:val="single" w:sz="8" w:space="0" w:color="auto"/>
            </w:tcBorders>
            <w:vAlign w:val="center"/>
            <w:hideMark/>
          </w:tcPr>
          <w:p w14:paraId="38796198" w14:textId="77777777" w:rsidR="006C2C98" w:rsidRPr="006C2C98" w:rsidRDefault="006C2C98" w:rsidP="006C2C98">
            <w:pPr>
              <w:spacing w:after="0" w:line="240" w:lineRule="auto"/>
              <w:rPr>
                <w:rFonts w:ascii="Aptos" w:eastAsia="Times New Roman" w:hAnsi="Aptos" w:cs="Times New Roman"/>
                <w:color w:val="000000"/>
                <w:kern w:val="0"/>
                <w:lang w:eastAsia="en-IE"/>
                <w14:ligatures w14:val="none"/>
              </w:rPr>
            </w:pPr>
            <w:r w:rsidRPr="006C2C98">
              <w:rPr>
                <w:rFonts w:ascii="Aptos" w:eastAsia="Times New Roman" w:hAnsi="Aptos" w:cs="Times New Roman"/>
                <w:color w:val="000000"/>
                <w:kern w:val="0"/>
                <w:lang w:eastAsia="en-IE"/>
                <w14:ligatures w14:val="none"/>
              </w:rPr>
              <w:t>To be confirmed exact date in October 2026</w:t>
            </w:r>
          </w:p>
        </w:tc>
      </w:tr>
      <w:tr w:rsidR="006E21B9" w:rsidRPr="005E2593" w14:paraId="5CB153E7" w14:textId="77777777" w:rsidTr="005F0042">
        <w:trPr>
          <w:trHeight w:val="330"/>
        </w:trPr>
        <w:tc>
          <w:tcPr>
            <w:tcW w:w="1980" w:type="dxa"/>
            <w:tcBorders>
              <w:top w:val="nil"/>
              <w:left w:val="single" w:sz="8" w:space="0" w:color="auto"/>
              <w:bottom w:val="single" w:sz="8" w:space="0" w:color="auto"/>
              <w:right w:val="single" w:sz="8" w:space="0" w:color="auto"/>
            </w:tcBorders>
            <w:vAlign w:val="center"/>
            <w:hideMark/>
          </w:tcPr>
          <w:p w14:paraId="21450AEE" w14:textId="1E02C6D8"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r w:rsidRPr="004A54B3">
              <w:rPr>
                <w:rFonts w:ascii="Aptos" w:eastAsia="Times New Roman" w:hAnsi="Aptos" w:cs="Times New Roman"/>
                <w:color w:val="000000"/>
                <w:kern w:val="0"/>
                <w:lang w:eastAsia="en-IE"/>
                <w14:ligatures w14:val="none"/>
              </w:rPr>
              <w:t>Access to Apprenticeship programme</w:t>
            </w:r>
            <w:r>
              <w:rPr>
                <w:rFonts w:ascii="Aptos" w:eastAsia="Times New Roman" w:hAnsi="Aptos" w:cs="Times New Roman"/>
                <w:color w:val="000000"/>
                <w:kern w:val="0"/>
                <w:lang w:eastAsia="en-IE"/>
                <w14:ligatures w14:val="none"/>
              </w:rPr>
              <w:t xml:space="preserve"> bursary</w:t>
            </w:r>
          </w:p>
        </w:tc>
        <w:tc>
          <w:tcPr>
            <w:tcW w:w="4952" w:type="dxa"/>
            <w:tcBorders>
              <w:top w:val="nil"/>
              <w:left w:val="nil"/>
              <w:bottom w:val="single" w:sz="8" w:space="0" w:color="auto"/>
              <w:right w:val="single" w:sz="8" w:space="0" w:color="auto"/>
            </w:tcBorders>
            <w:vAlign w:val="center"/>
            <w:hideMark/>
          </w:tcPr>
          <w:p w14:paraId="70C10195" w14:textId="00F61E27"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r w:rsidRPr="004A54B3">
              <w:rPr>
                <w:rFonts w:ascii="Aptos" w:eastAsia="Times New Roman" w:hAnsi="Aptos" w:cs="Times New Roman"/>
                <w:color w:val="000000"/>
                <w:kern w:val="0"/>
                <w:lang w:eastAsia="en-IE"/>
                <w14:ligatures w14:val="none"/>
              </w:rPr>
              <w:t>The Access to Apprenticeship Initiative supports the transition of young people (16-24 years old) from disadvantaged backgrounds into an apprenticeship scheme.</w:t>
            </w:r>
            <w:r>
              <w:rPr>
                <w:rFonts w:ascii="Aptos" w:eastAsia="Times New Roman" w:hAnsi="Aptos" w:cs="Times New Roman"/>
                <w:color w:val="000000"/>
                <w:kern w:val="0"/>
                <w:lang w:eastAsia="en-IE"/>
                <w14:ligatures w14:val="none"/>
              </w:rPr>
              <w:t xml:space="preserve"> </w:t>
            </w:r>
            <w:r w:rsidRPr="00C87151">
              <w:rPr>
                <w:rFonts w:ascii="Aptos" w:eastAsia="Times New Roman" w:hAnsi="Aptos" w:cs="Times New Roman"/>
                <w:color w:val="000000"/>
                <w:kern w:val="0"/>
                <w:lang w:eastAsia="en-IE"/>
                <w14:ligatures w14:val="none"/>
              </w:rPr>
              <w:t xml:space="preserve">Learners who participate in an Access to Apprenticeship programme are eligible to apply to the </w:t>
            </w:r>
            <w:r>
              <w:rPr>
                <w:rFonts w:ascii="Aptos" w:eastAsia="Times New Roman" w:hAnsi="Aptos" w:cs="Times New Roman"/>
                <w:color w:val="000000"/>
                <w:kern w:val="0"/>
                <w:lang w:eastAsia="en-IE"/>
                <w14:ligatures w14:val="none"/>
              </w:rPr>
              <w:t>SOLAS</w:t>
            </w:r>
            <w:r w:rsidRPr="00C87151">
              <w:rPr>
                <w:rFonts w:ascii="Aptos" w:eastAsia="Times New Roman" w:hAnsi="Aptos" w:cs="Times New Roman"/>
                <w:color w:val="000000"/>
                <w:kern w:val="0"/>
                <w:lang w:eastAsia="en-IE"/>
                <w14:ligatures w14:val="none"/>
              </w:rPr>
              <w:t xml:space="preserve"> for a €3,000 bursary. </w:t>
            </w:r>
            <w:r w:rsidRPr="004A54B3">
              <w:rPr>
                <w:rFonts w:ascii="Aptos" w:eastAsia="Times New Roman" w:hAnsi="Aptos" w:cs="Times New Roman"/>
                <w:color w:val="000000"/>
                <w:kern w:val="0"/>
                <w:lang w:eastAsia="en-IE"/>
                <w14:ligatures w14:val="none"/>
              </w:rPr>
              <w:t>The bursary provides financial support of up to €3,000 to eligible learners to support living costs including</w:t>
            </w:r>
            <w:r>
              <w:rPr>
                <w:rFonts w:ascii="Aptos" w:eastAsia="Times New Roman" w:hAnsi="Aptos" w:cs="Times New Roman"/>
                <w:color w:val="000000"/>
                <w:kern w:val="0"/>
                <w:lang w:eastAsia="en-IE"/>
                <w14:ligatures w14:val="none"/>
              </w:rPr>
              <w:t xml:space="preserve"> </w:t>
            </w:r>
            <w:r w:rsidRPr="004A54B3">
              <w:rPr>
                <w:rFonts w:ascii="Aptos" w:eastAsia="Times New Roman" w:hAnsi="Aptos" w:cs="Times New Roman"/>
                <w:color w:val="000000"/>
                <w:kern w:val="0"/>
                <w:lang w:eastAsia="en-IE"/>
                <w14:ligatures w14:val="none"/>
              </w:rPr>
              <w:t>travel, accommodation and materials.</w:t>
            </w:r>
          </w:p>
        </w:tc>
        <w:tc>
          <w:tcPr>
            <w:tcW w:w="3553" w:type="dxa"/>
            <w:tcBorders>
              <w:top w:val="nil"/>
              <w:left w:val="nil"/>
              <w:bottom w:val="single" w:sz="8" w:space="0" w:color="auto"/>
              <w:right w:val="single" w:sz="8" w:space="0" w:color="auto"/>
            </w:tcBorders>
            <w:vAlign w:val="center"/>
            <w:hideMark/>
          </w:tcPr>
          <w:p w14:paraId="3766A904" w14:textId="06A8B27C"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r>
              <w:rPr>
                <w:rFonts w:ascii="Aptos" w:eastAsia="Times New Roman" w:hAnsi="Aptos" w:cs="Times New Roman"/>
                <w:color w:val="000000"/>
                <w:kern w:val="0"/>
                <w:lang w:eastAsia="en-IE"/>
                <w14:ligatures w14:val="none"/>
              </w:rPr>
              <w:t xml:space="preserve">Applications are made via form made available on the website of participating Technological Universities. Further information is available here: </w:t>
            </w:r>
            <w:hyperlink r:id="rId15" w:history="1">
              <w:r w:rsidRPr="00C87151">
                <w:rPr>
                  <w:rStyle w:val="Hyperlink"/>
                  <w:rFonts w:ascii="Aptos" w:eastAsia="Times New Roman" w:hAnsi="Aptos" w:cs="Times New Roman"/>
                  <w:kern w:val="0"/>
                  <w:lang w:eastAsia="en-IE"/>
                  <w14:ligatures w14:val="none"/>
                </w:rPr>
                <w:t>https://apprenticeship.ie/news-events/news/access-and-inclusion-bursary</w:t>
              </w:r>
            </w:hyperlink>
          </w:p>
        </w:tc>
        <w:tc>
          <w:tcPr>
            <w:tcW w:w="1843" w:type="dxa"/>
            <w:tcBorders>
              <w:top w:val="nil"/>
              <w:left w:val="nil"/>
              <w:bottom w:val="single" w:sz="8" w:space="0" w:color="auto"/>
              <w:right w:val="single" w:sz="8" w:space="0" w:color="auto"/>
            </w:tcBorders>
            <w:vAlign w:val="center"/>
            <w:hideMark/>
          </w:tcPr>
          <w:p w14:paraId="786EC9E7" w14:textId="2CBE5F5B" w:rsidR="006E21B9" w:rsidRPr="005E2593" w:rsidRDefault="006E21B9" w:rsidP="006E21B9">
            <w:pPr>
              <w:spacing w:after="0" w:line="240" w:lineRule="auto"/>
              <w:rPr>
                <w:rFonts w:ascii="Aptos Narrow" w:eastAsia="Times New Roman" w:hAnsi="Aptos Narrow" w:cs="Times New Roman"/>
                <w:color w:val="000000"/>
                <w:kern w:val="0"/>
                <w:sz w:val="22"/>
                <w:szCs w:val="22"/>
                <w:lang w:eastAsia="en-IE"/>
                <w14:ligatures w14:val="none"/>
              </w:rPr>
            </w:pPr>
            <w:r>
              <w:rPr>
                <w:rFonts w:ascii="Aptos" w:eastAsia="Times New Roman" w:hAnsi="Aptos" w:cs="Times New Roman"/>
                <w:color w:val="000000"/>
                <w:kern w:val="0"/>
                <w:lang w:eastAsia="en-IE"/>
                <w14:ligatures w14:val="none"/>
              </w:rPr>
              <w:t>Varies by Technological University.</w:t>
            </w:r>
          </w:p>
        </w:tc>
        <w:tc>
          <w:tcPr>
            <w:tcW w:w="1701" w:type="dxa"/>
            <w:tcBorders>
              <w:top w:val="nil"/>
              <w:left w:val="nil"/>
              <w:bottom w:val="single" w:sz="8" w:space="0" w:color="auto"/>
              <w:right w:val="single" w:sz="8" w:space="0" w:color="auto"/>
            </w:tcBorders>
            <w:vAlign w:val="center"/>
            <w:hideMark/>
          </w:tcPr>
          <w:p w14:paraId="4D449FBF" w14:textId="6DA750B2" w:rsidR="006E21B9" w:rsidRPr="005E2593" w:rsidRDefault="006E21B9" w:rsidP="006E21B9">
            <w:pPr>
              <w:spacing w:after="0" w:line="240" w:lineRule="auto"/>
              <w:rPr>
                <w:rFonts w:ascii="Aptos Narrow" w:eastAsia="Times New Roman" w:hAnsi="Aptos Narrow" w:cs="Times New Roman"/>
                <w:color w:val="000000"/>
                <w:kern w:val="0"/>
                <w:sz w:val="22"/>
                <w:szCs w:val="22"/>
                <w:lang w:eastAsia="en-IE"/>
                <w14:ligatures w14:val="none"/>
              </w:rPr>
            </w:pPr>
            <w:r w:rsidRPr="00C87151">
              <w:rPr>
                <w:rFonts w:ascii="Aptos" w:eastAsia="Times New Roman" w:hAnsi="Aptos" w:cs="Times New Roman"/>
                <w:color w:val="000000"/>
                <w:kern w:val="0"/>
                <w:lang w:eastAsia="en-IE"/>
                <w14:ligatures w14:val="none"/>
              </w:rPr>
              <w:t>Varies by Technological University</w:t>
            </w:r>
            <w:r>
              <w:rPr>
                <w:rFonts w:ascii="Aptos" w:eastAsia="Times New Roman" w:hAnsi="Aptos" w:cs="Times New Roman"/>
                <w:color w:val="000000"/>
                <w:kern w:val="0"/>
                <w:lang w:eastAsia="en-IE"/>
                <w14:ligatures w14:val="none"/>
              </w:rPr>
              <w:t>.</w:t>
            </w:r>
          </w:p>
        </w:tc>
      </w:tr>
      <w:tr w:rsidR="006E21B9" w:rsidRPr="005E2593" w14:paraId="29A6F888" w14:textId="77777777" w:rsidTr="00BC09B3">
        <w:trPr>
          <w:trHeight w:val="330"/>
        </w:trPr>
        <w:tc>
          <w:tcPr>
            <w:tcW w:w="1980" w:type="dxa"/>
            <w:tcBorders>
              <w:top w:val="nil"/>
              <w:left w:val="single" w:sz="8" w:space="0" w:color="auto"/>
              <w:bottom w:val="single" w:sz="8" w:space="0" w:color="auto"/>
              <w:right w:val="single" w:sz="8" w:space="0" w:color="auto"/>
            </w:tcBorders>
            <w:vAlign w:val="center"/>
            <w:hideMark/>
          </w:tcPr>
          <w:p w14:paraId="346977DE" w14:textId="175DFA82"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r w:rsidRPr="009F4674">
              <w:rPr>
                <w:rFonts w:ascii="Aptos" w:eastAsia="Times New Roman" w:hAnsi="Aptos" w:cs="Times New Roman"/>
                <w:color w:val="000000"/>
                <w:kern w:val="0"/>
                <w:lang w:eastAsia="en-IE"/>
                <w14:ligatures w14:val="none"/>
              </w:rPr>
              <w:t>Traveller Apprenticeship Incentivisation Programme</w:t>
            </w:r>
            <w:r>
              <w:rPr>
                <w:rFonts w:ascii="Aptos" w:eastAsia="Times New Roman" w:hAnsi="Aptos" w:cs="Times New Roman"/>
                <w:color w:val="000000"/>
                <w:kern w:val="0"/>
                <w:lang w:eastAsia="en-IE"/>
                <w14:ligatures w14:val="none"/>
              </w:rPr>
              <w:t xml:space="preserve"> bursary</w:t>
            </w:r>
          </w:p>
        </w:tc>
        <w:tc>
          <w:tcPr>
            <w:tcW w:w="4952" w:type="dxa"/>
            <w:tcBorders>
              <w:top w:val="nil"/>
              <w:left w:val="nil"/>
              <w:bottom w:val="single" w:sz="8" w:space="0" w:color="auto"/>
              <w:right w:val="single" w:sz="8" w:space="0" w:color="auto"/>
            </w:tcBorders>
            <w:vAlign w:val="center"/>
            <w:hideMark/>
          </w:tcPr>
          <w:p w14:paraId="7F9A0D71" w14:textId="77777777" w:rsidR="006E21B9" w:rsidRPr="009F4674" w:rsidRDefault="006E21B9" w:rsidP="006E21B9">
            <w:pPr>
              <w:spacing w:after="0" w:line="240" w:lineRule="auto"/>
              <w:rPr>
                <w:rFonts w:ascii="Aptos" w:eastAsia="Times New Roman" w:hAnsi="Aptos" w:cs="Times New Roman"/>
                <w:color w:val="000000"/>
                <w:kern w:val="0"/>
                <w:lang w:eastAsia="en-IE"/>
                <w14:ligatures w14:val="none"/>
              </w:rPr>
            </w:pPr>
            <w:r w:rsidRPr="009F4674">
              <w:rPr>
                <w:rFonts w:ascii="Aptos" w:eastAsia="Times New Roman" w:hAnsi="Aptos" w:cs="Times New Roman"/>
                <w:color w:val="000000"/>
                <w:kern w:val="0"/>
                <w:lang w:eastAsia="en-IE"/>
                <w14:ligatures w14:val="none"/>
              </w:rPr>
              <w:t xml:space="preserve">The Traveller Apprenticeship Incentivisation Programme (TAIP) provides financial and practical support to members of the Travelling Community to help them access, start and complete </w:t>
            </w:r>
            <w:r w:rsidRPr="009F4674">
              <w:rPr>
                <w:rFonts w:ascii="Aptos" w:eastAsia="Times New Roman" w:hAnsi="Aptos" w:cs="Times New Roman"/>
                <w:color w:val="000000"/>
                <w:kern w:val="0"/>
                <w:lang w:eastAsia="en-IE"/>
                <w14:ligatures w14:val="none"/>
              </w:rPr>
              <w:lastRenderedPageBreak/>
              <w:t>apprenticeships. The programme offers bursaries to both apprentices and their employers.</w:t>
            </w:r>
            <w:r>
              <w:rPr>
                <w:rFonts w:ascii="Aptos" w:eastAsia="Times New Roman" w:hAnsi="Aptos" w:cs="Times New Roman"/>
                <w:color w:val="000000"/>
                <w:kern w:val="0"/>
                <w:lang w:eastAsia="en-IE"/>
                <w14:ligatures w14:val="none"/>
              </w:rPr>
              <w:t xml:space="preserve"> </w:t>
            </w:r>
            <w:r w:rsidRPr="009F4674">
              <w:rPr>
                <w:rFonts w:ascii="Aptos" w:eastAsia="Times New Roman" w:hAnsi="Aptos" w:cs="Times New Roman"/>
                <w:color w:val="000000"/>
                <w:kern w:val="0"/>
                <w:lang w:eastAsia="en-IE"/>
                <w14:ligatures w14:val="none"/>
              </w:rPr>
              <w:t>The programme is structured across three streams: </w:t>
            </w:r>
          </w:p>
          <w:p w14:paraId="5402B72A" w14:textId="77777777" w:rsidR="006E21B9" w:rsidRPr="009F4674" w:rsidRDefault="006E21B9" w:rsidP="006E21B9">
            <w:pPr>
              <w:spacing w:after="0" w:line="240" w:lineRule="auto"/>
              <w:rPr>
                <w:rFonts w:ascii="Aptos" w:eastAsia="Times New Roman" w:hAnsi="Aptos" w:cs="Times New Roman"/>
                <w:color w:val="000000"/>
                <w:kern w:val="0"/>
                <w:lang w:eastAsia="en-IE"/>
                <w14:ligatures w14:val="none"/>
              </w:rPr>
            </w:pPr>
            <w:r w:rsidRPr="009F4674">
              <w:rPr>
                <w:rFonts w:ascii="Aptos" w:eastAsia="Times New Roman" w:hAnsi="Aptos" w:cs="Times New Roman"/>
                <w:color w:val="000000"/>
                <w:kern w:val="0"/>
                <w:lang w:eastAsia="en-IE"/>
                <w14:ligatures w14:val="none"/>
              </w:rPr>
              <w:t>Stream 1 - €3,000 bursary each for Travellers who are employed as new apprentices and €2,000 incentive payment each for their employers.</w:t>
            </w:r>
            <w:r w:rsidRPr="009F4674">
              <w:rPr>
                <w:rFonts w:ascii="Arial" w:eastAsia="Times New Roman" w:hAnsi="Arial" w:cs="Arial"/>
                <w:color w:val="000000"/>
                <w:kern w:val="0"/>
                <w:lang w:eastAsia="en-IE"/>
                <w14:ligatures w14:val="none"/>
              </w:rPr>
              <w:t> </w:t>
            </w:r>
            <w:r w:rsidRPr="009F4674">
              <w:rPr>
                <w:rFonts w:ascii="Aptos" w:eastAsia="Times New Roman" w:hAnsi="Aptos" w:cs="Aptos"/>
                <w:color w:val="000000"/>
                <w:kern w:val="0"/>
                <w:lang w:eastAsia="en-IE"/>
                <w14:ligatures w14:val="none"/>
              </w:rPr>
              <w:t>  </w:t>
            </w:r>
          </w:p>
          <w:p w14:paraId="07399DB4" w14:textId="77777777" w:rsidR="006E21B9" w:rsidRPr="009F4674" w:rsidRDefault="006E21B9" w:rsidP="006E21B9">
            <w:pPr>
              <w:spacing w:after="0" w:line="240" w:lineRule="auto"/>
              <w:rPr>
                <w:rFonts w:ascii="Aptos" w:eastAsia="Times New Roman" w:hAnsi="Aptos" w:cs="Times New Roman"/>
                <w:color w:val="000000"/>
                <w:kern w:val="0"/>
                <w:lang w:eastAsia="en-IE"/>
                <w14:ligatures w14:val="none"/>
              </w:rPr>
            </w:pPr>
            <w:r w:rsidRPr="009F4674">
              <w:rPr>
                <w:rFonts w:ascii="Aptos" w:eastAsia="Times New Roman" w:hAnsi="Aptos" w:cs="Times New Roman"/>
                <w:color w:val="000000"/>
                <w:kern w:val="0"/>
                <w:lang w:eastAsia="en-IE"/>
                <w14:ligatures w14:val="none"/>
              </w:rPr>
              <w:t>Stream 2 - €3,000 bursary each for existing Traveller apprentices.  </w:t>
            </w:r>
          </w:p>
          <w:p w14:paraId="4863B4E4" w14:textId="77777777" w:rsidR="006E21B9" w:rsidRPr="009F4674" w:rsidRDefault="006E21B9" w:rsidP="006E21B9">
            <w:pPr>
              <w:spacing w:after="0" w:line="240" w:lineRule="auto"/>
              <w:rPr>
                <w:rFonts w:ascii="Aptos" w:eastAsia="Times New Roman" w:hAnsi="Aptos" w:cs="Times New Roman"/>
                <w:color w:val="000000"/>
                <w:kern w:val="0"/>
                <w:lang w:eastAsia="en-IE"/>
                <w14:ligatures w14:val="none"/>
              </w:rPr>
            </w:pPr>
            <w:r w:rsidRPr="009F4674">
              <w:rPr>
                <w:rFonts w:ascii="Aptos" w:eastAsia="Times New Roman" w:hAnsi="Aptos" w:cs="Times New Roman"/>
                <w:color w:val="000000"/>
                <w:kern w:val="0"/>
                <w:lang w:eastAsia="en-IE"/>
                <w14:ligatures w14:val="none"/>
              </w:rPr>
              <w:t>Stream 3 - €3,000 bursary each for Travellers to access pre-apprenticeship courses. </w:t>
            </w:r>
          </w:p>
          <w:p w14:paraId="341F7901" w14:textId="77777777" w:rsidR="006E21B9" w:rsidRPr="009F4674" w:rsidRDefault="006E21B9" w:rsidP="006E21B9">
            <w:pPr>
              <w:spacing w:after="0" w:line="240" w:lineRule="auto"/>
              <w:rPr>
                <w:rFonts w:ascii="Aptos" w:eastAsia="Times New Roman" w:hAnsi="Aptos" w:cs="Times New Roman"/>
                <w:color w:val="000000"/>
                <w:kern w:val="0"/>
                <w:lang w:eastAsia="en-IE"/>
                <w14:ligatures w14:val="none"/>
              </w:rPr>
            </w:pPr>
          </w:p>
          <w:p w14:paraId="4D283D04" w14:textId="0B6011DD"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p>
        </w:tc>
        <w:tc>
          <w:tcPr>
            <w:tcW w:w="3553" w:type="dxa"/>
            <w:tcBorders>
              <w:top w:val="nil"/>
              <w:left w:val="nil"/>
              <w:bottom w:val="single" w:sz="8" w:space="0" w:color="auto"/>
              <w:right w:val="single" w:sz="8" w:space="0" w:color="auto"/>
            </w:tcBorders>
            <w:vAlign w:val="center"/>
            <w:hideMark/>
          </w:tcPr>
          <w:p w14:paraId="1BB9933A" w14:textId="494F264D" w:rsidR="006E21B9" w:rsidRPr="005E2593" w:rsidRDefault="006E21B9" w:rsidP="006E21B9">
            <w:pPr>
              <w:spacing w:after="0" w:line="240" w:lineRule="auto"/>
              <w:rPr>
                <w:rFonts w:ascii="Aptos" w:eastAsia="Times New Roman" w:hAnsi="Aptos" w:cs="Times New Roman"/>
                <w:color w:val="000000"/>
                <w:kern w:val="0"/>
                <w:lang w:eastAsia="en-IE"/>
                <w14:ligatures w14:val="none"/>
              </w:rPr>
            </w:pPr>
            <w:r>
              <w:rPr>
                <w:rFonts w:ascii="Aptos" w:eastAsia="Times New Roman" w:hAnsi="Aptos" w:cs="Times New Roman"/>
                <w:color w:val="000000"/>
                <w:kern w:val="0"/>
                <w:lang w:eastAsia="en-IE"/>
                <w14:ligatures w14:val="none"/>
              </w:rPr>
              <w:lastRenderedPageBreak/>
              <w:t xml:space="preserve">Applications are made by contacting the designated members of the programme’s staff. Further information is available here:  </w:t>
            </w:r>
            <w:hyperlink r:id="rId16" w:history="1">
              <w:r w:rsidRPr="009F4674">
                <w:rPr>
                  <w:rStyle w:val="Hyperlink"/>
                  <w:rFonts w:ascii="Aptos" w:eastAsia="Times New Roman" w:hAnsi="Aptos" w:cs="Times New Roman"/>
                  <w:kern w:val="0"/>
                  <w:lang w:eastAsia="en-IE"/>
                  <w14:ligatures w14:val="none"/>
                </w:rPr>
                <w:t>TAIP Webpage</w:t>
              </w:r>
            </w:hyperlink>
          </w:p>
        </w:tc>
        <w:tc>
          <w:tcPr>
            <w:tcW w:w="1843" w:type="dxa"/>
            <w:tcBorders>
              <w:top w:val="nil"/>
              <w:left w:val="nil"/>
              <w:bottom w:val="single" w:sz="8" w:space="0" w:color="auto"/>
              <w:right w:val="single" w:sz="8" w:space="0" w:color="auto"/>
            </w:tcBorders>
            <w:vAlign w:val="center"/>
            <w:hideMark/>
          </w:tcPr>
          <w:p w14:paraId="3951EA91" w14:textId="68ECF5BE" w:rsidR="006E21B9" w:rsidRPr="005E2593" w:rsidRDefault="006E21B9" w:rsidP="006E21B9">
            <w:pPr>
              <w:spacing w:after="0" w:line="240" w:lineRule="auto"/>
              <w:rPr>
                <w:rFonts w:ascii="Aptos Narrow" w:eastAsia="Times New Roman" w:hAnsi="Aptos Narrow" w:cs="Times New Roman"/>
                <w:color w:val="000000"/>
                <w:kern w:val="0"/>
                <w:sz w:val="22"/>
                <w:szCs w:val="22"/>
                <w:lang w:eastAsia="en-IE"/>
                <w14:ligatures w14:val="none"/>
              </w:rPr>
            </w:pPr>
            <w:r w:rsidRPr="009F4674">
              <w:rPr>
                <w:rFonts w:ascii="Aptos" w:eastAsia="Times New Roman" w:hAnsi="Aptos" w:cs="Times New Roman"/>
                <w:color w:val="000000"/>
                <w:kern w:val="0"/>
                <w:lang w:eastAsia="en-IE"/>
                <w14:ligatures w14:val="none"/>
              </w:rPr>
              <w:t>Applications can be made year-round.</w:t>
            </w:r>
          </w:p>
        </w:tc>
        <w:tc>
          <w:tcPr>
            <w:tcW w:w="1701" w:type="dxa"/>
            <w:tcBorders>
              <w:top w:val="nil"/>
              <w:left w:val="nil"/>
              <w:bottom w:val="single" w:sz="8" w:space="0" w:color="auto"/>
              <w:right w:val="single" w:sz="8" w:space="0" w:color="auto"/>
            </w:tcBorders>
            <w:vAlign w:val="center"/>
            <w:hideMark/>
          </w:tcPr>
          <w:p w14:paraId="16A095FE" w14:textId="3C74B27D" w:rsidR="006E21B9" w:rsidRPr="005E2593" w:rsidRDefault="006E21B9" w:rsidP="006E21B9">
            <w:pPr>
              <w:spacing w:after="0" w:line="240" w:lineRule="auto"/>
              <w:rPr>
                <w:rFonts w:ascii="Aptos Narrow" w:eastAsia="Times New Roman" w:hAnsi="Aptos Narrow" w:cs="Times New Roman"/>
                <w:color w:val="000000"/>
                <w:kern w:val="0"/>
                <w:sz w:val="22"/>
                <w:szCs w:val="22"/>
                <w:lang w:eastAsia="en-IE"/>
                <w14:ligatures w14:val="none"/>
              </w:rPr>
            </w:pPr>
            <w:r w:rsidRPr="009F4674">
              <w:rPr>
                <w:rFonts w:ascii="Aptos" w:eastAsia="Times New Roman" w:hAnsi="Aptos" w:cs="Times New Roman"/>
                <w:color w:val="000000"/>
                <w:kern w:val="0"/>
                <w:lang w:eastAsia="en-IE"/>
                <w14:ligatures w14:val="none"/>
              </w:rPr>
              <w:t>Applications can be made year-round.</w:t>
            </w:r>
          </w:p>
        </w:tc>
      </w:tr>
    </w:tbl>
    <w:p w14:paraId="2AC1F8E2" w14:textId="77777777" w:rsidR="00327EE2" w:rsidRDefault="00327EE2"/>
    <w:sectPr w:rsidR="00327EE2" w:rsidSect="005E259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AFAEE" w14:textId="77777777" w:rsidR="00F8227A" w:rsidRDefault="00F8227A" w:rsidP="005356E0">
      <w:pPr>
        <w:spacing w:after="0" w:line="240" w:lineRule="auto"/>
      </w:pPr>
      <w:r>
        <w:separator/>
      </w:r>
    </w:p>
  </w:endnote>
  <w:endnote w:type="continuationSeparator" w:id="0">
    <w:p w14:paraId="572C29AE" w14:textId="77777777" w:rsidR="00F8227A" w:rsidRDefault="00F8227A" w:rsidP="00535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altName w:val="Lato"/>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1FA00" w14:textId="77777777" w:rsidR="00F8227A" w:rsidRDefault="00F8227A" w:rsidP="005356E0">
      <w:pPr>
        <w:spacing w:after="0" w:line="240" w:lineRule="auto"/>
      </w:pPr>
      <w:r>
        <w:separator/>
      </w:r>
    </w:p>
  </w:footnote>
  <w:footnote w:type="continuationSeparator" w:id="0">
    <w:p w14:paraId="37B90DEF" w14:textId="77777777" w:rsidR="00F8227A" w:rsidRDefault="00F8227A" w:rsidP="005356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E7"/>
    <w:rsid w:val="0004196F"/>
    <w:rsid w:val="00062473"/>
    <w:rsid w:val="000719DA"/>
    <w:rsid w:val="000B55F6"/>
    <w:rsid w:val="000F3B8A"/>
    <w:rsid w:val="00195546"/>
    <w:rsid w:val="00231F10"/>
    <w:rsid w:val="00240C87"/>
    <w:rsid w:val="00247422"/>
    <w:rsid w:val="002E5F69"/>
    <w:rsid w:val="00327EE2"/>
    <w:rsid w:val="003E452B"/>
    <w:rsid w:val="004F300B"/>
    <w:rsid w:val="00510654"/>
    <w:rsid w:val="005356E0"/>
    <w:rsid w:val="005E2593"/>
    <w:rsid w:val="00620B63"/>
    <w:rsid w:val="0069032C"/>
    <w:rsid w:val="006C2C98"/>
    <w:rsid w:val="006E21B9"/>
    <w:rsid w:val="007007E5"/>
    <w:rsid w:val="0078165D"/>
    <w:rsid w:val="007A5504"/>
    <w:rsid w:val="00923D64"/>
    <w:rsid w:val="009D43F5"/>
    <w:rsid w:val="00A72490"/>
    <w:rsid w:val="00A9239F"/>
    <w:rsid w:val="00AB5F5A"/>
    <w:rsid w:val="00AD1264"/>
    <w:rsid w:val="00B7662A"/>
    <w:rsid w:val="00BD063F"/>
    <w:rsid w:val="00C22370"/>
    <w:rsid w:val="00C261A8"/>
    <w:rsid w:val="00C458E7"/>
    <w:rsid w:val="00C62378"/>
    <w:rsid w:val="00D1129A"/>
    <w:rsid w:val="00DB24E7"/>
    <w:rsid w:val="00E5513A"/>
    <w:rsid w:val="00E872B7"/>
    <w:rsid w:val="00EB4BBC"/>
    <w:rsid w:val="00F26C9E"/>
    <w:rsid w:val="00F822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CC0C"/>
  <w15:chartTrackingRefBased/>
  <w15:docId w15:val="{7D025B4B-88D9-453A-8E70-D524BBA2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2370"/>
    <w:pPr>
      <w:keepNext/>
      <w:keepLines/>
      <w:tabs>
        <w:tab w:val="left" w:pos="454"/>
        <w:tab w:val="left" w:pos="907"/>
        <w:tab w:val="left" w:pos="1361"/>
        <w:tab w:val="left" w:pos="1814"/>
        <w:tab w:val="left" w:pos="2268"/>
      </w:tabs>
      <w:spacing w:before="320" w:line="400" w:lineRule="exact"/>
      <w:contextualSpacing/>
      <w:outlineLvl w:val="1"/>
    </w:pPr>
    <w:rPr>
      <w:rFonts w:ascii="Lato" w:eastAsia="DengXian Light" w:hAnsi="Lato" w:cs="Times New Roman"/>
      <w:b/>
      <w:bCs/>
      <w:color w:val="0F4761"/>
      <w:sz w:val="32"/>
      <w:szCs w:val="26"/>
      <w:lang w:val="en-US" w:eastAsia="ja-JP"/>
    </w:rPr>
  </w:style>
  <w:style w:type="paragraph" w:styleId="Heading3">
    <w:name w:val="heading 3"/>
    <w:basedOn w:val="Normal"/>
    <w:next w:val="Normal"/>
    <w:link w:val="Heading3Char"/>
    <w:uiPriority w:val="9"/>
    <w:semiHidden/>
    <w:unhideWhenUsed/>
    <w:qFormat/>
    <w:rsid w:val="00DB2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2370"/>
    <w:rPr>
      <w:rFonts w:ascii="Lato" w:eastAsia="DengXian Light" w:hAnsi="Lato" w:cs="Times New Roman"/>
      <w:b/>
      <w:bCs/>
      <w:color w:val="0F4761"/>
      <w:sz w:val="32"/>
      <w:szCs w:val="26"/>
      <w:lang w:val="en-US" w:eastAsia="ja-JP"/>
    </w:rPr>
  </w:style>
  <w:style w:type="character" w:customStyle="1" w:styleId="Heading1Char">
    <w:name w:val="Heading 1 Char"/>
    <w:basedOn w:val="DefaultParagraphFont"/>
    <w:link w:val="Heading1"/>
    <w:uiPriority w:val="9"/>
    <w:rsid w:val="00DB24E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B2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4E7"/>
    <w:rPr>
      <w:rFonts w:eastAsiaTheme="majorEastAsia" w:cstheme="majorBidi"/>
      <w:color w:val="272727" w:themeColor="text1" w:themeTint="D8"/>
    </w:rPr>
  </w:style>
  <w:style w:type="paragraph" w:styleId="Title">
    <w:name w:val="Title"/>
    <w:basedOn w:val="Normal"/>
    <w:next w:val="Normal"/>
    <w:link w:val="TitleChar"/>
    <w:uiPriority w:val="10"/>
    <w:qFormat/>
    <w:rsid w:val="00DB2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4E7"/>
    <w:pPr>
      <w:spacing w:before="160"/>
      <w:jc w:val="center"/>
    </w:pPr>
    <w:rPr>
      <w:i/>
      <w:iCs/>
      <w:color w:val="404040" w:themeColor="text1" w:themeTint="BF"/>
    </w:rPr>
  </w:style>
  <w:style w:type="character" w:customStyle="1" w:styleId="QuoteChar">
    <w:name w:val="Quote Char"/>
    <w:basedOn w:val="DefaultParagraphFont"/>
    <w:link w:val="Quote"/>
    <w:uiPriority w:val="29"/>
    <w:rsid w:val="00DB24E7"/>
    <w:rPr>
      <w:i/>
      <w:iCs/>
      <w:color w:val="404040" w:themeColor="text1" w:themeTint="BF"/>
    </w:rPr>
  </w:style>
  <w:style w:type="paragraph" w:styleId="ListParagraph">
    <w:name w:val="List Paragraph"/>
    <w:basedOn w:val="Normal"/>
    <w:uiPriority w:val="34"/>
    <w:qFormat/>
    <w:rsid w:val="00DB24E7"/>
    <w:pPr>
      <w:ind w:left="720"/>
      <w:contextualSpacing/>
    </w:pPr>
  </w:style>
  <w:style w:type="character" w:styleId="IntenseEmphasis">
    <w:name w:val="Intense Emphasis"/>
    <w:basedOn w:val="DefaultParagraphFont"/>
    <w:uiPriority w:val="21"/>
    <w:qFormat/>
    <w:rsid w:val="00DB24E7"/>
    <w:rPr>
      <w:i/>
      <w:iCs/>
      <w:color w:val="0F4761" w:themeColor="accent1" w:themeShade="BF"/>
    </w:rPr>
  </w:style>
  <w:style w:type="paragraph" w:styleId="IntenseQuote">
    <w:name w:val="Intense Quote"/>
    <w:basedOn w:val="Normal"/>
    <w:next w:val="Normal"/>
    <w:link w:val="IntenseQuoteChar"/>
    <w:uiPriority w:val="30"/>
    <w:qFormat/>
    <w:rsid w:val="00DB2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4E7"/>
    <w:rPr>
      <w:i/>
      <w:iCs/>
      <w:color w:val="0F4761" w:themeColor="accent1" w:themeShade="BF"/>
    </w:rPr>
  </w:style>
  <w:style w:type="character" w:styleId="IntenseReference">
    <w:name w:val="Intense Reference"/>
    <w:basedOn w:val="DefaultParagraphFont"/>
    <w:uiPriority w:val="32"/>
    <w:qFormat/>
    <w:rsid w:val="00DB24E7"/>
    <w:rPr>
      <w:b/>
      <w:bCs/>
      <w:smallCaps/>
      <w:color w:val="0F4761" w:themeColor="accent1" w:themeShade="BF"/>
      <w:spacing w:val="5"/>
    </w:rPr>
  </w:style>
  <w:style w:type="paragraph" w:styleId="NoSpacing">
    <w:name w:val="No Spacing"/>
    <w:uiPriority w:val="1"/>
    <w:qFormat/>
    <w:rsid w:val="003E452B"/>
    <w:pPr>
      <w:spacing w:after="0" w:line="240" w:lineRule="auto"/>
    </w:pPr>
  </w:style>
  <w:style w:type="character" w:styleId="Hyperlink">
    <w:name w:val="Hyperlink"/>
    <w:basedOn w:val="DefaultParagraphFont"/>
    <w:uiPriority w:val="99"/>
    <w:unhideWhenUsed/>
    <w:rsid w:val="00AB5F5A"/>
    <w:rPr>
      <w:color w:val="467886" w:themeColor="hyperlink"/>
      <w:u w:val="single"/>
    </w:rPr>
  </w:style>
  <w:style w:type="character" w:styleId="UnresolvedMention">
    <w:name w:val="Unresolved Mention"/>
    <w:basedOn w:val="DefaultParagraphFont"/>
    <w:uiPriority w:val="99"/>
    <w:semiHidden/>
    <w:unhideWhenUsed/>
    <w:rsid w:val="00AB5F5A"/>
    <w:rPr>
      <w:color w:val="605E5C"/>
      <w:shd w:val="clear" w:color="auto" w:fill="E1DFDD"/>
    </w:rPr>
  </w:style>
  <w:style w:type="paragraph" w:styleId="Header">
    <w:name w:val="header"/>
    <w:basedOn w:val="Normal"/>
    <w:link w:val="HeaderChar"/>
    <w:uiPriority w:val="99"/>
    <w:unhideWhenUsed/>
    <w:rsid w:val="00535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6E0"/>
  </w:style>
  <w:style w:type="paragraph" w:styleId="Footer">
    <w:name w:val="footer"/>
    <w:basedOn w:val="Normal"/>
    <w:link w:val="FooterChar"/>
    <w:uiPriority w:val="99"/>
    <w:unhideWhenUsed/>
    <w:rsid w:val="00535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s%3A%2F%2Fwww.gov.ie%2Fen%2Fdepartment-of-further-and-higher-education-research-innovation-and-science%2Fpublications%2Fsupports-to-beneficiaries-of-temporary-protection-botp-for-academic-year-20262027%2F&amp;data=05%7C02%7CJohn_Rafferty%40dfheris.gov.ie%7C481e4f8e8d824199d34808dede73d157%7Cf5c0d15a869347e3b506b1617300787f%7C0%7C0%7C639192786178593571%7CUnknown%7CTWFpbGZsb3d8eyJFbXB0eU1hcGkiOnRydWUsIlYiOiIwLjAuMDAwMCIsIlAiOiJXaW4zMiIsIkFOIjoiTWFpbCIsIldUIjoyfQ%3D%3D%7C0%7C%7C%7C&amp;sdata=J9CPzcIgcbOEqKsUzphPWNRRf3G2OpGow0d23EUaWVU%3D&amp;reserved=0" TargetMode="External"/><Relationship Id="rId13" Type="http://schemas.openxmlformats.org/officeDocument/2006/relationships/hyperlink" Target="https://hea.ie/policy/internationalisation/goi-ies/" TargetMode="Externa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https://eur05.safelinks.protection.outlook.com/?url=http%3A%2F%2Fwww.susi.ie%2F&amp;data=05%7C02%7CJohn_Rafferty%40dfheris.gov.ie%7Ca0ce1aff6a5c4b37af2508dee0c8f3cb%7Cf5c0d15a869347e3b506b1617300787f%7C0%7C0%7C639195350849388853%7CUnknown%7CTWFpbGZsb3d8eyJFbXB0eU1hcGkiOnRydWUsIlYiOiIwLjAuMDAwMCIsIlAiOiJXaW4zMiIsIkFOIjoiTWFpbCIsIldUIjoyfQ%3D%3D%7C0%7C%7C%7C&amp;sdata=cB0lJknKnxl%2BLt0%2BZOrwwDFT1sl9Ut%2BK6c0ZemqNC7A%3D&amp;reserved=0" TargetMode="External"/><Relationship Id="rId12" Type="http://schemas.openxmlformats.org/officeDocument/2006/relationships/hyperlink" Target="https://hea.ie/funding-governance-performance/funding/student-finance/fund-for-students-with-disabilitie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aip.my.canva.site/"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eur05.safelinks.protection.outlook.com/?url=http%3A%2F%2Fwww.susi.ie%2F&amp;data=05%7C02%7CJohn_Rafferty%40dfheris.gov.ie%7Ca0ce1aff6a5c4b37af2508dee0c8f3cb%7Cf5c0d15a869347e3b506b1617300787f%7C0%7C0%7C639195350849388853%7CUnknown%7CTWFpbGZsb3d8eyJFbXB0eU1hcGkiOnRydWUsIlYiOiIwLjAuMDAwMCIsIlAiOiJXaW4zMiIsIkFOIjoiTWFpbCIsIldUIjoyfQ%3D%3D%7C0%7C%7C%7C&amp;sdata=cB0lJknKnxl%2BLt0%2BZOrwwDFT1sl9Ut%2BK6c0ZemqNC7A%3D&amp;reserved=0" TargetMode="External"/><Relationship Id="rId11" Type="http://schemas.openxmlformats.org/officeDocument/2006/relationships/hyperlink" Target="https://hea.ie/assets/uploads/2025/09/Student-Assistance-Fund-Guidelines-2025_26.pdf" TargetMode="External"/><Relationship Id="rId5" Type="http://schemas.openxmlformats.org/officeDocument/2006/relationships/endnotes" Target="endnotes.xml"/><Relationship Id="rId15" Type="http://schemas.openxmlformats.org/officeDocument/2006/relationships/hyperlink" Target="https://apprenticeship.ie/news-events/news/access-and-inclusion-bursary" TargetMode="External"/><Relationship Id="rId10" Type="http://schemas.openxmlformats.org/officeDocument/2006/relationships/hyperlink" Target="https://www.solas.ie/latest-news/collaboration-and-innovation-fund-2026-launched-to-support-adults-with-unmet-literacy-needs/" TargetMode="External"/><Relationship Id="rId19"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https://www.solas.ie/pages/reach-fund/" TargetMode="External"/><Relationship Id="rId14" Type="http://schemas.openxmlformats.org/officeDocument/2006/relationships/hyperlink" Target="https://1916bursar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0262801ea40051acf5d106c77cae495b">
  <xsd:schema xmlns:xsd="http://www.w3.org/2001/XMLSchema" xmlns:xs="http://www.w3.org/2001/XMLSchema" xmlns:p="http://schemas.microsoft.com/office/2006/metadata/properties" targetNamespace="http://schemas.microsoft.com/office/2006/metadata/properties" ma:root="true" ma:fieldsID="2e2ebb7be88c93f172383b0a6b1f6f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04DF89-093D-4CF0-BAB3-B859C23DEB0E}"/>
</file>

<file path=customXml/itemProps2.xml><?xml version="1.0" encoding="utf-8"?>
<ds:datastoreItem xmlns:ds="http://schemas.openxmlformats.org/officeDocument/2006/customXml" ds:itemID="{80C952AA-94DF-409A-8926-1B43EE5623A7}"/>
</file>

<file path=customXml/itemProps3.xml><?xml version="1.0" encoding="utf-8"?>
<ds:datastoreItem xmlns:ds="http://schemas.openxmlformats.org/officeDocument/2006/customXml" ds:itemID="{B11CCDCA-B10E-4307-8DBA-850ECBC82C50}"/>
</file>

<file path=docProps/app.xml><?xml version="1.0" encoding="utf-8"?>
<Properties xmlns="http://schemas.openxmlformats.org/officeDocument/2006/extended-properties" xmlns:vt="http://schemas.openxmlformats.org/officeDocument/2006/docPropsVTypes">
  <Template>Normal</Template>
  <TotalTime>215</TotalTime>
  <Pages>7</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Baldwin, Mick</dc:creator>
  <cp:keywords/>
  <dc:description/>
  <cp:lastModifiedBy>John Rafferty</cp:lastModifiedBy>
  <cp:revision>13</cp:revision>
  <dcterms:created xsi:type="dcterms:W3CDTF">2026-07-09T13:40:00Z</dcterms:created>
  <dcterms:modified xsi:type="dcterms:W3CDTF">2026-07-13T12:04:00Z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