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B419E" w14:textId="77777777" w:rsidR="00463005" w:rsidRDefault="00463005" w:rsidP="00491CB0">
      <w:pPr>
        <w:ind w:left="567"/>
        <w:rPr>
          <w:rFonts w:ascii="Times New Roman" w:hAnsi="Times New Roman" w:cs="Times New Roman"/>
          <w:b/>
          <w:bCs/>
          <w:sz w:val="30"/>
          <w:szCs w:val="30"/>
        </w:rPr>
      </w:pPr>
      <w:r w:rsidRPr="00463005">
        <w:rPr>
          <w:rFonts w:ascii="Times New Roman" w:hAnsi="Times New Roman" w:cs="Times New Roman"/>
          <w:b/>
          <w:bCs/>
          <w:sz w:val="30"/>
          <w:szCs w:val="30"/>
        </w:rPr>
        <w:t>To ask the Minister for Climate; Energy and the Environment the main policy achievements of his Department since 22 January 2025; and if he will make a statement on the matter.</w:t>
      </w:r>
    </w:p>
    <w:p w14:paraId="3BC27D25" w14:textId="303C5A78" w:rsidR="00491CB0" w:rsidRPr="00491CB0" w:rsidRDefault="00491CB0" w:rsidP="00491CB0">
      <w:pPr>
        <w:ind w:left="567"/>
        <w:rPr>
          <w:rFonts w:ascii="Times New Roman" w:hAnsi="Times New Roman" w:cs="Times New Roman"/>
          <w:b/>
          <w:bCs/>
          <w:sz w:val="30"/>
          <w:szCs w:val="30"/>
        </w:rPr>
      </w:pPr>
      <w:r w:rsidRPr="00491CB0">
        <w:rPr>
          <w:rFonts w:ascii="Times New Roman" w:hAnsi="Times New Roman" w:cs="Times New Roman"/>
          <w:b/>
          <w:bCs/>
          <w:sz w:val="30"/>
          <w:szCs w:val="30"/>
        </w:rPr>
        <w:t xml:space="preserve">- </w:t>
      </w:r>
      <w:r w:rsidR="00463005" w:rsidRPr="00463005">
        <w:rPr>
          <w:rFonts w:ascii="Times New Roman" w:hAnsi="Times New Roman" w:cs="Times New Roman"/>
          <w:b/>
          <w:bCs/>
          <w:sz w:val="30"/>
          <w:szCs w:val="30"/>
        </w:rPr>
        <w:t>Shane Moynihan</w:t>
      </w:r>
      <w:r w:rsidRPr="00491CB0">
        <w:rPr>
          <w:rFonts w:ascii="Times New Roman" w:hAnsi="Times New Roman" w:cs="Times New Roman"/>
          <w:b/>
          <w:bCs/>
          <w:sz w:val="30"/>
          <w:szCs w:val="30"/>
        </w:rPr>
        <w:t>.</w:t>
      </w:r>
    </w:p>
    <w:p w14:paraId="2F47CA29" w14:textId="61E6A5ED" w:rsidR="00491CB0" w:rsidRPr="00491CB0" w:rsidRDefault="00491CB0" w:rsidP="00491CB0">
      <w:pPr>
        <w:ind w:left="567"/>
        <w:rPr>
          <w:rFonts w:ascii="Times New Roman" w:hAnsi="Times New Roman" w:cs="Times New Roman"/>
          <w:b/>
          <w:bCs/>
          <w:sz w:val="30"/>
          <w:szCs w:val="30"/>
        </w:rPr>
      </w:pPr>
      <w:r w:rsidRPr="00491CB0">
        <w:rPr>
          <w:rFonts w:ascii="Times New Roman" w:hAnsi="Times New Roman" w:cs="Times New Roman"/>
          <w:b/>
          <w:bCs/>
          <w:sz w:val="30"/>
          <w:szCs w:val="30"/>
        </w:rPr>
        <w:t xml:space="preserve">* For Written answer on </w:t>
      </w:r>
      <w:r w:rsidR="00463005">
        <w:rPr>
          <w:rFonts w:ascii="Times New Roman" w:hAnsi="Times New Roman" w:cs="Times New Roman"/>
          <w:b/>
          <w:bCs/>
          <w:sz w:val="30"/>
          <w:szCs w:val="30"/>
        </w:rPr>
        <w:t>07</w:t>
      </w:r>
      <w:r w:rsidRPr="00491CB0">
        <w:rPr>
          <w:rFonts w:ascii="Times New Roman" w:hAnsi="Times New Roman" w:cs="Times New Roman"/>
          <w:b/>
          <w:bCs/>
          <w:sz w:val="30"/>
          <w:szCs w:val="30"/>
        </w:rPr>
        <w:t>/</w:t>
      </w:r>
      <w:r w:rsidR="00463005">
        <w:rPr>
          <w:rFonts w:ascii="Times New Roman" w:hAnsi="Times New Roman" w:cs="Times New Roman"/>
          <w:b/>
          <w:bCs/>
          <w:sz w:val="30"/>
          <w:szCs w:val="30"/>
        </w:rPr>
        <w:t>07</w:t>
      </w:r>
      <w:r w:rsidRPr="00491CB0">
        <w:rPr>
          <w:rFonts w:ascii="Times New Roman" w:hAnsi="Times New Roman" w:cs="Times New Roman"/>
          <w:b/>
          <w:bCs/>
          <w:sz w:val="30"/>
          <w:szCs w:val="30"/>
        </w:rPr>
        <w:t>/202</w:t>
      </w:r>
      <w:r w:rsidR="00DC1D46">
        <w:rPr>
          <w:rFonts w:ascii="Times New Roman" w:hAnsi="Times New Roman" w:cs="Times New Roman"/>
          <w:b/>
          <w:bCs/>
          <w:sz w:val="30"/>
          <w:szCs w:val="30"/>
        </w:rPr>
        <w:t>6</w:t>
      </w:r>
      <w:r w:rsidRPr="00491CB0">
        <w:rPr>
          <w:rFonts w:ascii="Times New Roman" w:hAnsi="Times New Roman" w:cs="Times New Roman"/>
          <w:b/>
          <w:bCs/>
          <w:sz w:val="30"/>
          <w:szCs w:val="30"/>
        </w:rPr>
        <w:br/>
      </w:r>
      <w:r w:rsidRPr="00491CB0">
        <w:rPr>
          <w:rFonts w:ascii="Times New Roman" w:hAnsi="Times New Roman" w:cs="Times New Roman"/>
          <w:b/>
          <w:bCs/>
          <w:sz w:val="30"/>
          <w:szCs w:val="30"/>
        </w:rPr>
        <w:br/>
        <w:t xml:space="preserve">Ref No: </w:t>
      </w:r>
      <w:r w:rsidR="00463005" w:rsidRPr="00463005">
        <w:rPr>
          <w:rFonts w:ascii="Times New Roman" w:hAnsi="Times New Roman" w:cs="Times New Roman"/>
          <w:b/>
          <w:bCs/>
          <w:sz w:val="30"/>
          <w:szCs w:val="30"/>
        </w:rPr>
        <w:t>50796/26</w:t>
      </w:r>
    </w:p>
    <w:p w14:paraId="702358F0" w14:textId="77777777" w:rsidR="00491CB0" w:rsidRPr="00491CB0" w:rsidRDefault="00491CB0" w:rsidP="00491CB0">
      <w:pPr>
        <w:ind w:left="567"/>
        <w:rPr>
          <w:rFonts w:ascii="Times New Roman" w:hAnsi="Times New Roman" w:cs="Times New Roman"/>
          <w:sz w:val="30"/>
          <w:szCs w:val="30"/>
          <w:u w:val="single"/>
        </w:rPr>
      </w:pPr>
      <w:r w:rsidRPr="00491CB0">
        <w:rPr>
          <w:rFonts w:ascii="Times New Roman" w:hAnsi="Times New Roman" w:cs="Times New Roman"/>
          <w:sz w:val="30"/>
          <w:szCs w:val="30"/>
          <w:u w:val="single"/>
        </w:rPr>
        <w:t>Reply</w:t>
      </w:r>
    </w:p>
    <w:p w14:paraId="1717EB6C" w14:textId="77777777" w:rsidR="00491CB0" w:rsidRPr="00491CB0" w:rsidRDefault="00491CB0" w:rsidP="00491CB0">
      <w:pPr>
        <w:ind w:left="567"/>
        <w:rPr>
          <w:rFonts w:ascii="Times New Roman" w:hAnsi="Times New Roman" w:cs="Times New Roman"/>
          <w:b/>
          <w:bCs/>
          <w:sz w:val="30"/>
          <w:szCs w:val="30"/>
        </w:rPr>
      </w:pPr>
      <w:r w:rsidRPr="00491CB0">
        <w:rPr>
          <w:rFonts w:ascii="Times New Roman" w:hAnsi="Times New Roman" w:cs="Times New Roman"/>
          <w:b/>
          <w:bCs/>
          <w:sz w:val="30"/>
          <w:szCs w:val="30"/>
        </w:rPr>
        <w:t>Minister for Climate, Energy and the Environment (Darragh O'Brien)</w:t>
      </w:r>
    </w:p>
    <w:p w14:paraId="0BAF4802" w14:textId="2B3D5CD6" w:rsidR="00491CB0" w:rsidRPr="00491CB0" w:rsidRDefault="00491CB0" w:rsidP="00491CB0">
      <w:pPr>
        <w:spacing w:line="360" w:lineRule="auto"/>
        <w:ind w:left="567"/>
        <w:rPr>
          <w:rFonts w:ascii="Times New Roman" w:hAnsi="Times New Roman" w:cs="Times New Roman"/>
          <w:sz w:val="30"/>
          <w:szCs w:val="30"/>
        </w:rPr>
      </w:pPr>
    </w:p>
    <w:p w14:paraId="5E6A29ED" w14:textId="4C11A016" w:rsidR="00491CB0" w:rsidRPr="00491CB0" w:rsidRDefault="00491CB0" w:rsidP="00491CB0">
      <w:pPr>
        <w:spacing w:line="360" w:lineRule="auto"/>
        <w:ind w:left="567"/>
        <w:rPr>
          <w:rFonts w:ascii="Times New Roman" w:hAnsi="Times New Roman" w:cs="Times New Roman"/>
          <w:sz w:val="30"/>
          <w:szCs w:val="30"/>
        </w:rPr>
      </w:pPr>
      <w:r w:rsidRPr="00491CB0">
        <w:rPr>
          <w:rFonts w:ascii="Times New Roman" w:hAnsi="Times New Roman" w:cs="Times New Roman"/>
          <w:sz w:val="30"/>
          <w:szCs w:val="30"/>
        </w:rPr>
        <w:t xml:space="preserve">The attached table sets out the </w:t>
      </w:r>
      <w:r w:rsidR="00463005">
        <w:rPr>
          <w:rFonts w:ascii="Times New Roman" w:hAnsi="Times New Roman" w:cs="Times New Roman"/>
          <w:sz w:val="30"/>
          <w:szCs w:val="30"/>
        </w:rPr>
        <w:t>main policy achievements</w:t>
      </w:r>
      <w:r w:rsidRPr="00491CB0">
        <w:rPr>
          <w:rFonts w:ascii="Times New Roman" w:hAnsi="Times New Roman" w:cs="Times New Roman"/>
          <w:sz w:val="30"/>
          <w:szCs w:val="30"/>
        </w:rPr>
        <w:t xml:space="preserve"> </w:t>
      </w:r>
      <w:r w:rsidR="00463005">
        <w:rPr>
          <w:rFonts w:ascii="Times New Roman" w:hAnsi="Times New Roman" w:cs="Times New Roman"/>
          <w:sz w:val="30"/>
          <w:szCs w:val="30"/>
        </w:rPr>
        <w:t xml:space="preserve">by </w:t>
      </w:r>
      <w:r w:rsidR="00150493">
        <w:rPr>
          <w:rFonts w:ascii="Times New Roman" w:hAnsi="Times New Roman" w:cs="Times New Roman"/>
          <w:sz w:val="30"/>
          <w:szCs w:val="30"/>
        </w:rPr>
        <w:t>my</w:t>
      </w:r>
      <w:r w:rsidRPr="00491CB0">
        <w:rPr>
          <w:rFonts w:ascii="Times New Roman" w:hAnsi="Times New Roman" w:cs="Times New Roman"/>
          <w:sz w:val="30"/>
          <w:szCs w:val="30"/>
        </w:rPr>
        <w:t xml:space="preserve"> Department, </w:t>
      </w:r>
      <w:r w:rsidR="00DC1D46">
        <w:rPr>
          <w:rFonts w:ascii="Times New Roman" w:hAnsi="Times New Roman" w:cs="Times New Roman"/>
          <w:sz w:val="30"/>
          <w:szCs w:val="30"/>
        </w:rPr>
        <w:t xml:space="preserve">since </w:t>
      </w:r>
      <w:r w:rsidR="00463005">
        <w:rPr>
          <w:rFonts w:ascii="Times New Roman" w:hAnsi="Times New Roman" w:cs="Times New Roman"/>
          <w:sz w:val="30"/>
          <w:szCs w:val="30"/>
        </w:rPr>
        <w:t>22 January 2025</w:t>
      </w:r>
      <w:r w:rsidRPr="00491CB0">
        <w:rPr>
          <w:rFonts w:ascii="Times New Roman" w:hAnsi="Times New Roman" w:cs="Times New Roman"/>
          <w:sz w:val="30"/>
          <w:szCs w:val="30"/>
        </w:rPr>
        <w:t xml:space="preserve">. The </w:t>
      </w:r>
      <w:r w:rsidR="00463005">
        <w:rPr>
          <w:rFonts w:ascii="Times New Roman" w:hAnsi="Times New Roman" w:cs="Times New Roman"/>
          <w:sz w:val="30"/>
          <w:szCs w:val="30"/>
        </w:rPr>
        <w:t>achievements</w:t>
      </w:r>
      <w:r w:rsidRPr="00491CB0">
        <w:rPr>
          <w:rFonts w:ascii="Times New Roman" w:hAnsi="Times New Roman" w:cs="Times New Roman"/>
          <w:sz w:val="30"/>
          <w:szCs w:val="30"/>
        </w:rPr>
        <w:t xml:space="preserve"> are grouped, as appropriate, to the relevant goals from the Department’s Statement of Strategy, Le Chéile 28, which was published in September 2025.  These strategic goals are strongly aligned to the </w:t>
      </w:r>
      <w:r w:rsidR="000B25AA">
        <w:rPr>
          <w:rFonts w:ascii="Times New Roman" w:hAnsi="Times New Roman" w:cs="Times New Roman"/>
          <w:sz w:val="30"/>
          <w:szCs w:val="30"/>
        </w:rPr>
        <w:t xml:space="preserve">key </w:t>
      </w:r>
      <w:r w:rsidRPr="00491CB0">
        <w:rPr>
          <w:rFonts w:ascii="Times New Roman" w:hAnsi="Times New Roman" w:cs="Times New Roman"/>
          <w:sz w:val="30"/>
          <w:szCs w:val="30"/>
        </w:rPr>
        <w:t xml:space="preserve">commitments in the Programme for Government 2025. </w:t>
      </w:r>
    </w:p>
    <w:p w14:paraId="29D74197" w14:textId="52310EC6" w:rsidR="00491CB0" w:rsidRPr="00491CB0" w:rsidRDefault="00491CB0" w:rsidP="00491CB0">
      <w:pPr>
        <w:spacing w:line="360" w:lineRule="auto"/>
        <w:ind w:left="567"/>
        <w:rPr>
          <w:rFonts w:ascii="Times New Roman" w:hAnsi="Times New Roman" w:cs="Times New Roman"/>
          <w:sz w:val="30"/>
          <w:szCs w:val="30"/>
        </w:rPr>
      </w:pPr>
      <w:r w:rsidRPr="00491CB0">
        <w:rPr>
          <w:rFonts w:ascii="Times New Roman" w:hAnsi="Times New Roman" w:cs="Times New Roman"/>
          <w:sz w:val="30"/>
          <w:szCs w:val="30"/>
        </w:rPr>
        <w:t xml:space="preserve">Significant progress has been made against </w:t>
      </w:r>
      <w:r w:rsidR="00E40D1F">
        <w:rPr>
          <w:rFonts w:ascii="Times New Roman" w:hAnsi="Times New Roman" w:cs="Times New Roman"/>
          <w:sz w:val="30"/>
          <w:szCs w:val="30"/>
        </w:rPr>
        <w:t>key</w:t>
      </w:r>
      <w:r w:rsidRPr="00491CB0">
        <w:rPr>
          <w:rFonts w:ascii="Times New Roman" w:hAnsi="Times New Roman" w:cs="Times New Roman"/>
          <w:sz w:val="30"/>
          <w:szCs w:val="30"/>
        </w:rPr>
        <w:t xml:space="preserve"> Programme for Government commitments under the remit of my Department, and the Department will continue our critical work to ensure the future successful delivery of commitments. The progress made by my Department in delivering on the Statement of Strategy, including the implementation of </w:t>
      </w:r>
      <w:r w:rsidR="00E40D1F">
        <w:rPr>
          <w:rFonts w:ascii="Times New Roman" w:hAnsi="Times New Roman" w:cs="Times New Roman"/>
          <w:sz w:val="30"/>
          <w:szCs w:val="30"/>
        </w:rPr>
        <w:t xml:space="preserve">key </w:t>
      </w:r>
      <w:r w:rsidRPr="00491CB0">
        <w:rPr>
          <w:rFonts w:ascii="Times New Roman" w:hAnsi="Times New Roman" w:cs="Times New Roman"/>
          <w:sz w:val="30"/>
          <w:szCs w:val="30"/>
        </w:rPr>
        <w:t>Programme for Government commitments, is captured in Annual Reports which are available on gov.ie. </w:t>
      </w:r>
    </w:p>
    <w:p w14:paraId="41FC0530" w14:textId="77777777" w:rsidR="00491CB0" w:rsidRPr="00491CB0" w:rsidRDefault="00491CB0" w:rsidP="00491CB0">
      <w:pPr>
        <w:spacing w:line="360" w:lineRule="auto"/>
      </w:pPr>
    </w:p>
    <w:tbl>
      <w:tblPr>
        <w:tblW w:w="10347" w:type="dxa"/>
        <w:tblInd w:w="4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833"/>
        <w:gridCol w:w="10"/>
        <w:gridCol w:w="2267"/>
        <w:gridCol w:w="6237"/>
      </w:tblGrid>
      <w:tr w:rsidR="002432CE" w:rsidRPr="00E25D07" w14:paraId="147C8D17" w14:textId="23C27485" w:rsidTr="00B673B9">
        <w:trPr>
          <w:trHeight w:val="1875"/>
        </w:trPr>
        <w:tc>
          <w:tcPr>
            <w:tcW w:w="1833" w:type="dxa"/>
            <w:tcBorders>
              <w:top w:val="nil"/>
            </w:tcBorders>
            <w:shd w:val="clear" w:color="000000" w:fill="004D42"/>
            <w:vAlign w:val="center"/>
          </w:tcPr>
          <w:p w14:paraId="73DAAF50" w14:textId="478B2E85" w:rsidR="002432CE" w:rsidRPr="00E25D07" w:rsidRDefault="002432CE" w:rsidP="008D66D1">
            <w:pPr>
              <w:spacing w:after="0" w:line="240" w:lineRule="auto"/>
              <w:jc w:val="center"/>
              <w:rPr>
                <w:rFonts w:ascii="Times New Roman" w:eastAsia="Times New Roman" w:hAnsi="Times New Roman" w:cs="Times New Roman"/>
                <w:b/>
                <w:bCs/>
                <w:color w:val="FFFFFF"/>
                <w:kern w:val="0"/>
                <w:sz w:val="24"/>
                <w:szCs w:val="24"/>
                <w:lang w:eastAsia="en-IE"/>
                <w14:ligatures w14:val="none"/>
              </w:rPr>
            </w:pPr>
            <w:r w:rsidRPr="00E25D07">
              <w:rPr>
                <w:rFonts w:ascii="Times New Roman" w:eastAsia="Times New Roman" w:hAnsi="Times New Roman" w:cs="Times New Roman"/>
                <w:b/>
                <w:bCs/>
                <w:color w:val="FFFFFF"/>
                <w:kern w:val="0"/>
                <w:sz w:val="24"/>
                <w:szCs w:val="24"/>
                <w:lang w:eastAsia="en-IE"/>
                <w14:ligatures w14:val="none"/>
              </w:rPr>
              <w:t>Strategic Goal</w:t>
            </w:r>
          </w:p>
        </w:tc>
        <w:tc>
          <w:tcPr>
            <w:tcW w:w="2277" w:type="dxa"/>
            <w:gridSpan w:val="2"/>
            <w:tcBorders>
              <w:top w:val="nil"/>
            </w:tcBorders>
            <w:shd w:val="clear" w:color="auto" w:fill="004D42"/>
            <w:vAlign w:val="center"/>
          </w:tcPr>
          <w:p w14:paraId="231558A9" w14:textId="5B19FE72" w:rsidR="002432CE" w:rsidRPr="00E25D07" w:rsidRDefault="002432CE" w:rsidP="008D66D1">
            <w:pPr>
              <w:spacing w:after="0" w:line="240" w:lineRule="auto"/>
              <w:jc w:val="center"/>
              <w:rPr>
                <w:rFonts w:ascii="Times New Roman" w:eastAsia="Times New Roman" w:hAnsi="Times New Roman" w:cs="Times New Roman"/>
                <w:b/>
                <w:bCs/>
                <w:color w:val="FFFFFF"/>
                <w:kern w:val="0"/>
                <w:sz w:val="24"/>
                <w:szCs w:val="24"/>
                <w:lang w:eastAsia="en-IE"/>
                <w14:ligatures w14:val="none"/>
              </w:rPr>
            </w:pPr>
            <w:r w:rsidRPr="00E25D07">
              <w:rPr>
                <w:rFonts w:ascii="Times New Roman" w:eastAsia="Times New Roman" w:hAnsi="Times New Roman" w:cs="Times New Roman"/>
                <w:b/>
                <w:bCs/>
                <w:color w:val="FFFFFF"/>
                <w:kern w:val="0"/>
                <w:sz w:val="24"/>
                <w:szCs w:val="24"/>
                <w:lang w:eastAsia="en-IE"/>
                <w14:ligatures w14:val="none"/>
              </w:rPr>
              <w:t>Programme for Government Commitments</w:t>
            </w:r>
          </w:p>
        </w:tc>
        <w:tc>
          <w:tcPr>
            <w:tcW w:w="6237" w:type="dxa"/>
            <w:tcBorders>
              <w:top w:val="nil"/>
            </w:tcBorders>
            <w:shd w:val="clear" w:color="auto" w:fill="004D42"/>
            <w:vAlign w:val="center"/>
          </w:tcPr>
          <w:p w14:paraId="75FCD2E7" w14:textId="2247BCE6" w:rsidR="002432CE" w:rsidRPr="00E25D07" w:rsidRDefault="002432CE" w:rsidP="007F7903">
            <w:pPr>
              <w:spacing w:after="0" w:line="240" w:lineRule="auto"/>
              <w:jc w:val="center"/>
              <w:rPr>
                <w:rFonts w:ascii="Times New Roman" w:eastAsia="Times New Roman" w:hAnsi="Times New Roman" w:cs="Times New Roman"/>
                <w:b/>
                <w:bCs/>
                <w:color w:val="FFFFFF"/>
                <w:kern w:val="0"/>
                <w:sz w:val="24"/>
                <w:szCs w:val="24"/>
                <w:lang w:eastAsia="en-IE"/>
                <w14:ligatures w14:val="none"/>
              </w:rPr>
            </w:pPr>
            <w:r w:rsidRPr="00E25D07">
              <w:rPr>
                <w:rFonts w:ascii="Times New Roman" w:eastAsia="Times New Roman" w:hAnsi="Times New Roman" w:cs="Times New Roman"/>
                <w:b/>
                <w:bCs/>
                <w:color w:val="FFFFFF"/>
                <w:kern w:val="0"/>
                <w:sz w:val="24"/>
                <w:szCs w:val="24"/>
                <w:lang w:eastAsia="en-IE"/>
                <w14:ligatures w14:val="none"/>
              </w:rPr>
              <w:t>Section Progress Update</w:t>
            </w:r>
          </w:p>
        </w:tc>
      </w:tr>
      <w:tr w:rsidR="00690AF2" w:rsidRPr="00E25D07" w14:paraId="077B1402" w14:textId="77777777" w:rsidTr="00690AF2">
        <w:trPr>
          <w:trHeight w:val="2028"/>
        </w:trPr>
        <w:tc>
          <w:tcPr>
            <w:tcW w:w="1833" w:type="dxa"/>
            <w:vMerge w:val="restart"/>
          </w:tcPr>
          <w:p w14:paraId="1373A2F2" w14:textId="7514111F"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r w:rsidRPr="00E25D07">
              <w:rPr>
                <w:rFonts w:ascii="Times New Roman" w:eastAsia="Times New Roman" w:hAnsi="Times New Roman" w:cs="Times New Roman"/>
                <w:i/>
                <w:iCs/>
                <w:kern w:val="0"/>
                <w:sz w:val="24"/>
                <w:szCs w:val="24"/>
                <w:lang w:eastAsia="en-IE"/>
                <w14:ligatures w14:val="none"/>
              </w:rPr>
              <w:lastRenderedPageBreak/>
              <w:t>"Advance our climate, energy and environment objectives through effective EU and international leadership, engagement and collaboration"​</w:t>
            </w:r>
          </w:p>
        </w:tc>
        <w:tc>
          <w:tcPr>
            <w:tcW w:w="2277" w:type="dxa"/>
            <w:gridSpan w:val="2"/>
            <w:vAlign w:val="center"/>
          </w:tcPr>
          <w:p w14:paraId="563ED882" w14:textId="71EEA1C2"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Fast-Track Offshore Wind Development by prioritising the publication of Designated Maritime Area Plans (DMAPs) </w:t>
            </w:r>
          </w:p>
        </w:tc>
        <w:tc>
          <w:tcPr>
            <w:tcW w:w="6237" w:type="dxa"/>
            <w:vAlign w:val="center"/>
          </w:tcPr>
          <w:p w14:paraId="4404CEB7" w14:textId="7D75FA51"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690AF2">
              <w:rPr>
                <w:rFonts w:ascii="Times New Roman" w:eastAsia="Times New Roman" w:hAnsi="Times New Roman" w:cs="Times New Roman"/>
                <w:color w:val="000000"/>
                <w:kern w:val="0"/>
                <w:sz w:val="24"/>
                <w:szCs w:val="24"/>
                <w:lang w:eastAsia="en-IE"/>
                <w14:ligatures w14:val="none"/>
              </w:rPr>
              <w:t>The National DMAP will be a spatial plan for offshore renewable energy delivered through the marine spatial planning process. The Plan will designate sites sufficient to deliver 20GW renewable energy by 2040. The development of the National DMAP is on track with work progressing in line with key miles milestones and timelines set out. Notably, the DMAP Proposal and Public Participation Statement have been prepared and published. Development of the decision support tool assisted by experts in the Marine Institute is ongoing and key interdepartmental consultation meetings are taking place.</w:t>
            </w:r>
          </w:p>
        </w:tc>
      </w:tr>
      <w:tr w:rsidR="00690AF2" w:rsidRPr="00E25D07" w14:paraId="52698DCA" w14:textId="77777777" w:rsidTr="00690AF2">
        <w:trPr>
          <w:trHeight w:val="2026"/>
        </w:trPr>
        <w:tc>
          <w:tcPr>
            <w:tcW w:w="1833" w:type="dxa"/>
            <w:vMerge/>
          </w:tcPr>
          <w:p w14:paraId="57B27FD5" w14:textId="77777777" w:rsidR="00690AF2" w:rsidRPr="00E25D07" w:rsidRDefault="00690AF2" w:rsidP="00690AF2">
            <w:pPr>
              <w:spacing w:after="0" w:line="240" w:lineRule="auto"/>
              <w:jc w:val="center"/>
              <w:rPr>
                <w:rFonts w:ascii="Times New Roman" w:eastAsia="Times New Roman" w:hAnsi="Times New Roman" w:cs="Times New Roman"/>
                <w:i/>
                <w:iCs/>
                <w:kern w:val="0"/>
                <w:sz w:val="24"/>
                <w:szCs w:val="24"/>
                <w:lang w:eastAsia="en-IE"/>
                <w14:ligatures w14:val="none"/>
              </w:rPr>
            </w:pPr>
          </w:p>
        </w:tc>
        <w:tc>
          <w:tcPr>
            <w:tcW w:w="2277" w:type="dxa"/>
            <w:gridSpan w:val="2"/>
            <w:vAlign w:val="center"/>
          </w:tcPr>
          <w:p w14:paraId="75DEFEEB" w14:textId="5F9B4274"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2432CE">
              <w:rPr>
                <w:rFonts w:ascii="Times New Roman" w:eastAsia="Times New Roman" w:hAnsi="Times New Roman" w:cs="Times New Roman"/>
                <w:color w:val="000000"/>
                <w:kern w:val="0"/>
                <w:sz w:val="24"/>
                <w:szCs w:val="24"/>
                <w:lang w:eastAsia="en-IE"/>
                <w14:ligatures w14:val="none"/>
              </w:rPr>
              <w:t>Set ambitious targets to reduce greenhouse gas emissions by 2040 and ensure we have the correct mix of incentives and regulations.</w:t>
            </w:r>
          </w:p>
        </w:tc>
        <w:tc>
          <w:tcPr>
            <w:tcW w:w="6237" w:type="dxa"/>
            <w:vMerge w:val="restart"/>
            <w:vAlign w:val="center"/>
          </w:tcPr>
          <w:p w14:paraId="182C7B36" w14:textId="77777777" w:rsidR="00690AF2" w:rsidRPr="00690AF2"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690AF2">
              <w:rPr>
                <w:rFonts w:ascii="Times New Roman" w:eastAsia="Times New Roman" w:hAnsi="Times New Roman" w:cs="Times New Roman"/>
                <w:color w:val="000000"/>
                <w:kern w:val="0"/>
                <w:sz w:val="24"/>
                <w:szCs w:val="24"/>
                <w:lang w:eastAsia="en-IE"/>
                <w14:ligatures w14:val="none"/>
              </w:rPr>
              <w:t>The Council of the EU agreed a general approach on an EU-wide 2040 greenhouse gas emissions reduction target, and as of 1 December 2025 will enter trilogue negotiations with the European Parliament. After these negotiations discussions on Member State level targets will commence.</w:t>
            </w:r>
          </w:p>
          <w:p w14:paraId="7D7F8421" w14:textId="77777777" w:rsidR="00690AF2" w:rsidRPr="00690AF2"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p>
          <w:p w14:paraId="1FFCEB10" w14:textId="1B05C60A" w:rsidR="00690AF2" w:rsidRPr="00690AF2"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690AF2">
              <w:rPr>
                <w:rFonts w:ascii="Times New Roman" w:eastAsia="Times New Roman" w:hAnsi="Times New Roman" w:cs="Times New Roman"/>
                <w:color w:val="000000"/>
                <w:kern w:val="0"/>
                <w:sz w:val="24"/>
                <w:szCs w:val="24"/>
                <w:lang w:eastAsia="en-IE"/>
                <w14:ligatures w14:val="none"/>
              </w:rPr>
              <w:t xml:space="preserve">Ireland published a dedicated Climate Finance Roadmap in 2022 to guide the scaling up of climate finance following a pledge at COP26 in 2021 to provide at least €225 million per year by 2025 in international climate finance. This target is expected to </w:t>
            </w:r>
            <w:r w:rsidR="00491CB0">
              <w:rPr>
                <w:rFonts w:ascii="Times New Roman" w:eastAsia="Times New Roman" w:hAnsi="Times New Roman" w:cs="Times New Roman"/>
                <w:color w:val="000000"/>
                <w:kern w:val="0"/>
                <w:sz w:val="24"/>
                <w:szCs w:val="24"/>
                <w:lang w:eastAsia="en-IE"/>
                <w14:ligatures w14:val="none"/>
              </w:rPr>
              <w:t>b</w:t>
            </w:r>
            <w:r w:rsidRPr="00690AF2">
              <w:rPr>
                <w:rFonts w:ascii="Times New Roman" w:eastAsia="Times New Roman" w:hAnsi="Times New Roman" w:cs="Times New Roman"/>
                <w:color w:val="000000"/>
                <w:kern w:val="0"/>
                <w:sz w:val="24"/>
                <w:szCs w:val="24"/>
                <w:lang w:eastAsia="en-IE"/>
                <w14:ligatures w14:val="none"/>
              </w:rPr>
              <w:t xml:space="preserve">e met this year on schedule. </w:t>
            </w:r>
          </w:p>
          <w:p w14:paraId="44D28F11" w14:textId="77777777" w:rsidR="00690AF2" w:rsidRPr="00690AF2"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p>
          <w:p w14:paraId="06E676D5" w14:textId="5CC7593D"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690AF2">
              <w:rPr>
                <w:rFonts w:ascii="Times New Roman" w:eastAsia="Times New Roman" w:hAnsi="Times New Roman" w:cs="Times New Roman"/>
                <w:color w:val="000000"/>
                <w:kern w:val="0"/>
                <w:sz w:val="24"/>
                <w:szCs w:val="24"/>
                <w:lang w:eastAsia="en-IE"/>
                <w14:ligatures w14:val="none"/>
              </w:rPr>
              <w:t>Ireland’s climate finance is provided by four government departments – Department of Foreign Affairs and Trade, Department of Finance, Department of Climate, Energy and the Environment and the Department of Agriculture, Food, and the Marine. In 2025, the Department of Climate, Energy and the Environment is expected to provide just above €24million of this climate finance.</w:t>
            </w:r>
          </w:p>
        </w:tc>
      </w:tr>
      <w:tr w:rsidR="00690AF2" w:rsidRPr="00E25D07" w14:paraId="448D7BE2" w14:textId="77777777" w:rsidTr="00690AF2">
        <w:trPr>
          <w:trHeight w:val="2026"/>
        </w:trPr>
        <w:tc>
          <w:tcPr>
            <w:tcW w:w="1833" w:type="dxa"/>
            <w:vMerge/>
          </w:tcPr>
          <w:p w14:paraId="36715201" w14:textId="77777777" w:rsidR="00690AF2" w:rsidRPr="00E25D07" w:rsidRDefault="00690AF2" w:rsidP="00690AF2">
            <w:pPr>
              <w:spacing w:after="0" w:line="240" w:lineRule="auto"/>
              <w:jc w:val="center"/>
              <w:rPr>
                <w:rFonts w:ascii="Times New Roman" w:eastAsia="Times New Roman" w:hAnsi="Times New Roman" w:cs="Times New Roman"/>
                <w:i/>
                <w:iCs/>
                <w:kern w:val="0"/>
                <w:sz w:val="24"/>
                <w:szCs w:val="24"/>
                <w:lang w:eastAsia="en-IE"/>
                <w14:ligatures w14:val="none"/>
              </w:rPr>
            </w:pPr>
          </w:p>
        </w:tc>
        <w:tc>
          <w:tcPr>
            <w:tcW w:w="2277" w:type="dxa"/>
            <w:gridSpan w:val="2"/>
            <w:vAlign w:val="center"/>
          </w:tcPr>
          <w:p w14:paraId="3463BF1D" w14:textId="17E30856"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Ensure there is continued support for climate finance delivered through Ireland’s Overseas Development Aid programme.</w:t>
            </w:r>
          </w:p>
        </w:tc>
        <w:tc>
          <w:tcPr>
            <w:tcW w:w="6237" w:type="dxa"/>
            <w:vMerge/>
            <w:vAlign w:val="center"/>
          </w:tcPr>
          <w:p w14:paraId="71A791B3" w14:textId="77777777"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p>
        </w:tc>
      </w:tr>
      <w:tr w:rsidR="00690AF2" w:rsidRPr="00E25D07" w14:paraId="6914D617" w14:textId="7F33D7C8" w:rsidTr="00B673B9">
        <w:trPr>
          <w:trHeight w:val="289"/>
        </w:trPr>
        <w:tc>
          <w:tcPr>
            <w:tcW w:w="1833" w:type="dxa"/>
            <w:vMerge w:val="restart"/>
            <w:hideMark/>
          </w:tcPr>
          <w:p w14:paraId="7701547C"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r w:rsidRPr="00E25D07">
              <w:rPr>
                <w:rFonts w:ascii="Times New Roman" w:eastAsia="Times New Roman" w:hAnsi="Times New Roman" w:cs="Times New Roman"/>
                <w:i/>
                <w:iCs/>
                <w:color w:val="000000"/>
                <w:kern w:val="0"/>
                <w:sz w:val="24"/>
                <w:szCs w:val="24"/>
                <w:lang w:eastAsia="en-IE"/>
                <w14:ligatures w14:val="none"/>
              </w:rPr>
              <w:t>"Accelerate climate action and prepare Ireland for the impacts of a changing climate"</w:t>
            </w:r>
          </w:p>
        </w:tc>
        <w:tc>
          <w:tcPr>
            <w:tcW w:w="2277" w:type="dxa"/>
            <w:gridSpan w:val="2"/>
            <w:vAlign w:val="center"/>
          </w:tcPr>
          <w:p w14:paraId="3D57B703" w14:textId="5CB486D0"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2432CE">
              <w:rPr>
                <w:rFonts w:ascii="Times New Roman" w:eastAsia="Times New Roman" w:hAnsi="Times New Roman" w:cs="Times New Roman"/>
                <w:color w:val="000000"/>
                <w:kern w:val="0"/>
                <w:sz w:val="24"/>
                <w:szCs w:val="24"/>
                <w:lang w:eastAsia="en-IE"/>
                <w14:ligatures w14:val="none"/>
              </w:rPr>
              <w:t>Deliver actions to achieve a 51% reduction in emissions from 2018 to 2030 and net-zero emissions no later than 2050.</w:t>
            </w:r>
          </w:p>
        </w:tc>
        <w:tc>
          <w:tcPr>
            <w:tcW w:w="6237" w:type="dxa"/>
            <w:vMerge w:val="restart"/>
            <w:vAlign w:val="center"/>
          </w:tcPr>
          <w:p w14:paraId="7307AA6D" w14:textId="503845E0"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2432CE">
              <w:rPr>
                <w:rFonts w:ascii="Times New Roman" w:eastAsia="Times New Roman" w:hAnsi="Times New Roman" w:cs="Times New Roman"/>
                <w:color w:val="000000"/>
                <w:kern w:val="0"/>
                <w:sz w:val="24"/>
                <w:szCs w:val="24"/>
                <w:lang w:eastAsia="en-IE"/>
                <w14:ligatures w14:val="none"/>
              </w:rPr>
              <w:t>The Department operates a delivery-focussed approach to climate governance and has revised how it can support the implementation of the measures and actions in the Climate Action Plans. As part of updated governance arrangements, the Minister has taken up the role of Chair of the Climate Action Delivery Board (CADB), providing direct oversight of this Board, which comprises the heads of the relevant Government Departments. The first meeting of the updated CADB is scheduled for December 2025.</w:t>
            </w:r>
          </w:p>
          <w:p w14:paraId="034CF596" w14:textId="77777777"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p>
          <w:p w14:paraId="242452EA" w14:textId="4F5D981D"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2432CE">
              <w:rPr>
                <w:rFonts w:ascii="Times New Roman" w:eastAsia="Times New Roman" w:hAnsi="Times New Roman" w:cs="Times New Roman"/>
                <w:color w:val="000000"/>
                <w:kern w:val="0"/>
                <w:sz w:val="24"/>
                <w:szCs w:val="24"/>
                <w:lang w:eastAsia="en-IE"/>
                <w14:ligatures w14:val="none"/>
              </w:rPr>
              <w:t>To provide enhanced and co-ordinated oversight and strategic direction on the delivery of the Climate Action Plan, the Climate Action Programme Board (CAPPB) has also been established. The Assistant Secretary level Programme Board brings together the chairs of the various climate delivery taskforces from across sectors to bring an overall cohesion and alignment to climate action. It has met three times this year and is focussed on the delivery of High Impact Climate Mitigation Actions.</w:t>
            </w:r>
          </w:p>
          <w:p w14:paraId="02EA1B35" w14:textId="08221961"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p>
        </w:tc>
      </w:tr>
      <w:tr w:rsidR="00690AF2" w:rsidRPr="00E25D07" w14:paraId="703B4ABD" w14:textId="6A2263FE" w:rsidTr="00B673B9">
        <w:trPr>
          <w:trHeight w:val="289"/>
        </w:trPr>
        <w:tc>
          <w:tcPr>
            <w:tcW w:w="1833" w:type="dxa"/>
            <w:vMerge/>
            <w:hideMark/>
          </w:tcPr>
          <w:p w14:paraId="5F660EB0"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77" w:type="dxa"/>
            <w:gridSpan w:val="2"/>
            <w:vAlign w:val="center"/>
          </w:tcPr>
          <w:p w14:paraId="00484993" w14:textId="53E2B98D"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Strengthen the delivery structures to deliver the Climate Action Plan through the Climate Action Delivery Board.</w:t>
            </w:r>
          </w:p>
        </w:tc>
        <w:tc>
          <w:tcPr>
            <w:tcW w:w="6237" w:type="dxa"/>
            <w:vMerge/>
            <w:vAlign w:val="center"/>
          </w:tcPr>
          <w:p w14:paraId="4462F9C4" w14:textId="77777777"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p>
        </w:tc>
      </w:tr>
      <w:tr w:rsidR="00690AF2" w:rsidRPr="00E25D07" w14:paraId="0036CDCC" w14:textId="2414B3AA" w:rsidTr="00B673B9">
        <w:trPr>
          <w:trHeight w:val="300"/>
        </w:trPr>
        <w:tc>
          <w:tcPr>
            <w:tcW w:w="1833" w:type="dxa"/>
            <w:vMerge/>
            <w:hideMark/>
          </w:tcPr>
          <w:p w14:paraId="2DAF39A9"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77" w:type="dxa"/>
            <w:gridSpan w:val="2"/>
            <w:vAlign w:val="center"/>
          </w:tcPr>
          <w:p w14:paraId="6414776F" w14:textId="4BE27B0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Enhance and improve the Governance Structures to deliver the Climate Action Plan and the underpinning legislation.  </w:t>
            </w:r>
          </w:p>
        </w:tc>
        <w:tc>
          <w:tcPr>
            <w:tcW w:w="6237" w:type="dxa"/>
            <w:vMerge/>
            <w:vAlign w:val="center"/>
          </w:tcPr>
          <w:p w14:paraId="493D43F8"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47F366D8" w14:textId="3E0C42E8" w:rsidTr="00B673B9">
        <w:trPr>
          <w:trHeight w:val="289"/>
        </w:trPr>
        <w:tc>
          <w:tcPr>
            <w:tcW w:w="1833" w:type="dxa"/>
            <w:vMerge/>
            <w:hideMark/>
          </w:tcPr>
          <w:p w14:paraId="0B8C8F3B"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77" w:type="dxa"/>
            <w:gridSpan w:val="2"/>
            <w:tcBorders>
              <w:bottom w:val="single" w:sz="8" w:space="0" w:color="auto"/>
            </w:tcBorders>
            <w:vAlign w:val="center"/>
            <w:hideMark/>
          </w:tcPr>
          <w:p w14:paraId="2BE9EB44"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Complete the second phase of the Land Use Review, which aims to balance environmental, social and economic consideration. </w:t>
            </w:r>
          </w:p>
        </w:tc>
        <w:tc>
          <w:tcPr>
            <w:tcW w:w="6237" w:type="dxa"/>
            <w:vAlign w:val="center"/>
          </w:tcPr>
          <w:p w14:paraId="776F828A" w14:textId="68A42A82" w:rsidR="00DC1D46" w:rsidRPr="002432CE" w:rsidRDefault="00DC1D46" w:rsidP="00690AF2">
            <w:pPr>
              <w:pStyle w:val="NormalWeb"/>
              <w:spacing w:before="0" w:beforeAutospacing="0" w:after="240" w:afterAutospacing="0"/>
              <w:jc w:val="both"/>
              <w:rPr>
                <w:color w:val="000000"/>
              </w:rPr>
            </w:pPr>
            <w:r w:rsidRPr="00DC1D46">
              <w:rPr>
                <w:color w:val="000000"/>
              </w:rPr>
              <w:t xml:space="preserve">The Land Use Review Phase 2 was received by M/CEE, M/AFM and MoS/DHLGH for their consideration. </w:t>
            </w:r>
            <w:r w:rsidR="000C3793">
              <w:rPr>
                <w:color w:val="000000"/>
              </w:rPr>
              <w:t xml:space="preserve">The Review has now been published.  </w:t>
            </w:r>
          </w:p>
        </w:tc>
      </w:tr>
      <w:tr w:rsidR="00690AF2" w:rsidRPr="00E25D07" w14:paraId="6DD83C9C" w14:textId="77777777" w:rsidTr="00B673B9">
        <w:trPr>
          <w:trHeight w:val="289"/>
        </w:trPr>
        <w:tc>
          <w:tcPr>
            <w:tcW w:w="1833" w:type="dxa"/>
            <w:vMerge/>
          </w:tcPr>
          <w:p w14:paraId="29F00F4F"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77" w:type="dxa"/>
            <w:gridSpan w:val="2"/>
            <w:tcBorders>
              <w:bottom w:val="single" w:sz="4" w:space="0" w:color="auto"/>
            </w:tcBorders>
            <w:vAlign w:val="center"/>
          </w:tcPr>
          <w:p w14:paraId="71DD2F72" w14:textId="69F53BF8"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Continue efforts to raise air quality standards, especially in urban areas, ensuring healthier environments for all.</w:t>
            </w:r>
          </w:p>
        </w:tc>
        <w:tc>
          <w:tcPr>
            <w:tcW w:w="6237" w:type="dxa"/>
            <w:vAlign w:val="center"/>
          </w:tcPr>
          <w:p w14:paraId="4C2A9389" w14:textId="46518CDB"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The Air Quality in Ireland Report 2024 from the Environmental Protection Agency (September 2025) noted that overall air quality is generally good and meets all EU legal requirements. The European Environment Agency’s Europe's environment 2025 (September 2025) noted in Ireland’s Country profile that Ireland’s air quality is among Europe’s best (it also noted that Ireland meets current EU air quality standards).</w:t>
            </w:r>
          </w:p>
          <w:p w14:paraId="5FD31640"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p w14:paraId="186ADEDD" w14:textId="2346C566"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Significant progress in improving Ireland’s air quality was also noted this year in the annual Clean Air Strategy Progress Report 2025 (July 2025), including reduced ammonia emissions on foot of improvements in agricultural practices and reduced sulphur dioxide emissions due to a greater use of renewables in energy generation and increased retrofitting and heat pump installation.</w:t>
            </w:r>
          </w:p>
          <w:p w14:paraId="6B5A88D7"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p w14:paraId="7FDC14E2" w14:textId="05704CCA"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The Government published the Air Pollution (Amendment) Bill 2025 which seeks to strengthen the enforcement powers available to local authorities to ensure that they can regulate commercial operators more effectively and that only compliant solid fuel is available on the market. </w:t>
            </w:r>
          </w:p>
          <w:p w14:paraId="2FC6848F"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00613F78" w14:textId="571FD1AA" w:rsidTr="00B673B9">
        <w:trPr>
          <w:trHeight w:val="1689"/>
        </w:trPr>
        <w:tc>
          <w:tcPr>
            <w:tcW w:w="1843" w:type="dxa"/>
            <w:gridSpan w:val="2"/>
            <w:vMerge w:val="restart"/>
            <w:shd w:val="clear" w:color="000000" w:fill="FFFFFF"/>
            <w:hideMark/>
          </w:tcPr>
          <w:p w14:paraId="62732F5A" w14:textId="429CDEB2"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r w:rsidRPr="00E25D07">
              <w:rPr>
                <w:rFonts w:ascii="Times New Roman" w:eastAsia="Times New Roman" w:hAnsi="Times New Roman" w:cs="Times New Roman"/>
                <w:i/>
                <w:iCs/>
                <w:color w:val="000000"/>
                <w:kern w:val="0"/>
                <w:sz w:val="24"/>
                <w:szCs w:val="24"/>
                <w:lang w:eastAsia="en-IE"/>
                <w14:ligatures w14:val="none"/>
              </w:rPr>
              <w:t>"Transform Ireland's energy systems to be sustainable, affordable and secure"</w:t>
            </w:r>
          </w:p>
        </w:tc>
        <w:tc>
          <w:tcPr>
            <w:tcW w:w="2267" w:type="dxa"/>
            <w:tcBorders>
              <w:top w:val="single" w:sz="4" w:space="0" w:color="auto"/>
            </w:tcBorders>
            <w:vAlign w:val="center"/>
            <w:hideMark/>
          </w:tcPr>
          <w:p w14:paraId="43827F7A"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Deliver 9GW of onshore wind, 8GW solar and at least 5GW of offshore wind by 2030</w:t>
            </w:r>
          </w:p>
        </w:tc>
        <w:tc>
          <w:tcPr>
            <w:tcW w:w="6237" w:type="dxa"/>
            <w:vAlign w:val="center"/>
          </w:tcPr>
          <w:p w14:paraId="0CA7E792" w14:textId="22DF9576"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Ireland currently </w:t>
            </w:r>
            <w:r w:rsidR="00DC1D46">
              <w:rPr>
                <w:rFonts w:ascii="Times New Roman" w:eastAsia="Times New Roman" w:hAnsi="Times New Roman" w:cs="Times New Roman"/>
                <w:kern w:val="0"/>
                <w:sz w:val="24"/>
                <w:szCs w:val="24"/>
                <w:lang w:eastAsia="en-IE"/>
                <w14:ligatures w14:val="none"/>
              </w:rPr>
              <w:t>over 8</w:t>
            </w:r>
            <w:r w:rsidRPr="002432CE">
              <w:rPr>
                <w:rFonts w:ascii="Times New Roman" w:eastAsia="Times New Roman" w:hAnsi="Times New Roman" w:cs="Times New Roman"/>
                <w:kern w:val="0"/>
                <w:sz w:val="24"/>
                <w:szCs w:val="24"/>
                <w:lang w:eastAsia="en-IE"/>
                <w14:ligatures w14:val="none"/>
              </w:rPr>
              <w:t xml:space="preserve"> GW of renewable generation capacity. Onshore wind is the largest contributor to this, with 5.1 GW of wind generation capacity and 2.</w:t>
            </w:r>
            <w:r w:rsidR="00DC1D46">
              <w:rPr>
                <w:rFonts w:ascii="Times New Roman" w:eastAsia="Times New Roman" w:hAnsi="Times New Roman" w:cs="Times New Roman"/>
                <w:kern w:val="0"/>
                <w:sz w:val="24"/>
                <w:szCs w:val="24"/>
                <w:lang w:eastAsia="en-IE"/>
                <w14:ligatures w14:val="none"/>
              </w:rPr>
              <w:t>5</w:t>
            </w:r>
            <w:r w:rsidRPr="002432CE">
              <w:rPr>
                <w:rFonts w:ascii="Times New Roman" w:eastAsia="Times New Roman" w:hAnsi="Times New Roman" w:cs="Times New Roman"/>
                <w:kern w:val="0"/>
                <w:sz w:val="24"/>
                <w:szCs w:val="24"/>
                <w:lang w:eastAsia="en-IE"/>
                <w14:ligatures w14:val="none"/>
              </w:rPr>
              <w:t xml:space="preserve"> GW of solar PV installed, with hydro, biomass, and other small sources contributing the remainder. </w:t>
            </w:r>
          </w:p>
          <w:p w14:paraId="206B7494"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p w14:paraId="55640F81"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The fifth RESS auction, RESS 5, was completed in September 2025 and saw over 1 GW of successful offers – enough to power over 350,000 homes. Work is already underway on preparing the next planned RESS auction, due for delivery in 2026, as part of the Government’s commitment to hold at least one RESS auction per year. </w:t>
            </w:r>
          </w:p>
          <w:p w14:paraId="06B0637D"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p w14:paraId="69F93C2B" w14:textId="2044895F"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Following on from Ireland’s first offshore wind auction in 2023, five east coast projects accounting for 3,800 MW are in development.  A planning Determination from An </w:t>
            </w:r>
            <w:proofErr w:type="spellStart"/>
            <w:r w:rsidRPr="002432CE">
              <w:rPr>
                <w:rFonts w:ascii="Times New Roman" w:eastAsia="Times New Roman" w:hAnsi="Times New Roman" w:cs="Times New Roman"/>
                <w:kern w:val="0"/>
                <w:sz w:val="24"/>
                <w:szCs w:val="24"/>
                <w:lang w:eastAsia="en-IE"/>
                <w14:ligatures w14:val="none"/>
              </w:rPr>
              <w:t>Coimisiún</w:t>
            </w:r>
            <w:proofErr w:type="spellEnd"/>
            <w:r w:rsidRPr="002432CE">
              <w:rPr>
                <w:rFonts w:ascii="Times New Roman" w:eastAsia="Times New Roman" w:hAnsi="Times New Roman" w:cs="Times New Roman"/>
                <w:kern w:val="0"/>
                <w:sz w:val="24"/>
                <w:szCs w:val="24"/>
                <w:lang w:eastAsia="en-IE"/>
                <w14:ligatures w14:val="none"/>
              </w:rPr>
              <w:t xml:space="preserve"> Pleanála is anticipated by end 2026, with projects in construction by 2030 and operational by 2031/32. </w:t>
            </w:r>
            <w:r w:rsidR="00DC1D46">
              <w:rPr>
                <w:rFonts w:ascii="Times New Roman" w:eastAsia="Times New Roman" w:hAnsi="Times New Roman" w:cs="Times New Roman"/>
                <w:kern w:val="0"/>
                <w:sz w:val="24"/>
                <w:szCs w:val="24"/>
                <w:lang w:eastAsia="en-IE"/>
                <w14:ligatures w14:val="none"/>
              </w:rPr>
              <w:t>Results from our</w:t>
            </w:r>
            <w:r w:rsidRPr="002432CE">
              <w:rPr>
                <w:rFonts w:ascii="Times New Roman" w:eastAsia="Times New Roman" w:hAnsi="Times New Roman" w:cs="Times New Roman"/>
                <w:kern w:val="0"/>
                <w:sz w:val="24"/>
                <w:szCs w:val="24"/>
                <w:lang w:eastAsia="en-IE"/>
                <w14:ligatures w14:val="none"/>
              </w:rPr>
              <w:t xml:space="preserve"> second offshore wind auction </w:t>
            </w:r>
            <w:r w:rsidR="00DC1D46">
              <w:rPr>
                <w:rFonts w:ascii="Times New Roman" w:eastAsia="Times New Roman" w:hAnsi="Times New Roman" w:cs="Times New Roman"/>
                <w:kern w:val="0"/>
                <w:sz w:val="24"/>
                <w:szCs w:val="24"/>
                <w:lang w:eastAsia="en-IE"/>
                <w14:ligatures w14:val="none"/>
              </w:rPr>
              <w:t>were</w:t>
            </w:r>
            <w:r w:rsidRPr="002432CE">
              <w:rPr>
                <w:rFonts w:ascii="Times New Roman" w:eastAsia="Times New Roman" w:hAnsi="Times New Roman" w:cs="Times New Roman"/>
                <w:kern w:val="0"/>
                <w:sz w:val="24"/>
                <w:szCs w:val="24"/>
                <w:lang w:eastAsia="en-IE"/>
                <w14:ligatures w14:val="none"/>
              </w:rPr>
              <w:t xml:space="preserve"> announced with ESB and Orsted to be awarded the 900 MW contract.  Further </w:t>
            </w:r>
            <w:r w:rsidRPr="002432CE">
              <w:rPr>
                <w:rFonts w:ascii="Times New Roman" w:eastAsia="Times New Roman" w:hAnsi="Times New Roman" w:cs="Times New Roman"/>
                <w:kern w:val="0"/>
                <w:sz w:val="24"/>
                <w:szCs w:val="24"/>
                <w:lang w:eastAsia="en-IE"/>
                <w14:ligatures w14:val="none"/>
              </w:rPr>
              <w:lastRenderedPageBreak/>
              <w:t>auctions will happen in 2026/27 to award rights to the remaining three South Coast DMAP sites with 4,000 MW of capacity. Work on the National DMAP is underway and will designate a further ten to fifteen offshore wind sites by the end of 2027.</w:t>
            </w:r>
          </w:p>
          <w:p w14:paraId="353455FF" w14:textId="77777777" w:rsidR="00DC1D46" w:rsidRDefault="00DC1D46" w:rsidP="00690AF2">
            <w:pPr>
              <w:spacing w:after="0" w:line="240" w:lineRule="auto"/>
              <w:rPr>
                <w:rFonts w:ascii="Times New Roman" w:eastAsia="Times New Roman" w:hAnsi="Times New Roman" w:cs="Times New Roman"/>
                <w:kern w:val="0"/>
                <w:sz w:val="24"/>
                <w:szCs w:val="24"/>
                <w:lang w:eastAsia="en-IE"/>
                <w14:ligatures w14:val="none"/>
              </w:rPr>
            </w:pPr>
          </w:p>
          <w:p w14:paraId="20347FF3" w14:textId="691A68D3" w:rsidR="00690AF2" w:rsidRPr="002432CE" w:rsidRDefault="00DC1D46" w:rsidP="00690AF2">
            <w:pPr>
              <w:spacing w:after="0" w:line="240" w:lineRule="auto"/>
              <w:rPr>
                <w:rFonts w:ascii="Times New Roman" w:eastAsia="Times New Roman" w:hAnsi="Times New Roman" w:cs="Times New Roman"/>
                <w:kern w:val="0"/>
                <w:sz w:val="24"/>
                <w:szCs w:val="24"/>
                <w:lang w:eastAsia="en-IE"/>
                <w14:ligatures w14:val="none"/>
              </w:rPr>
            </w:pPr>
            <w:r w:rsidRPr="00DC1D46">
              <w:rPr>
                <w:rFonts w:ascii="Times New Roman" w:eastAsia="Times New Roman" w:hAnsi="Times New Roman" w:cs="Times New Roman"/>
                <w:kern w:val="0"/>
                <w:sz w:val="24"/>
                <w:szCs w:val="24"/>
                <w:lang w:eastAsia="en-IE"/>
                <w14:ligatures w14:val="none"/>
              </w:rPr>
              <w:t>The Accelerating Renewable Electricity Taskforce (ARET) ensures a cohesive approach to policymaking and to identify potential barriers and solutions to accelerating the delivery of onshore renewable generation capacity and related infrastructure.    </w:t>
            </w:r>
            <w:r w:rsidR="00690AF2" w:rsidRPr="002432CE">
              <w:rPr>
                <w:rFonts w:ascii="Times New Roman" w:eastAsia="Times New Roman" w:hAnsi="Times New Roman" w:cs="Times New Roman"/>
                <w:kern w:val="0"/>
                <w:sz w:val="24"/>
                <w:szCs w:val="24"/>
                <w:lang w:eastAsia="en-IE"/>
                <w14:ligatures w14:val="none"/>
              </w:rPr>
              <w:t xml:space="preserve">  </w:t>
            </w:r>
          </w:p>
          <w:p w14:paraId="7ABB5C2B" w14:textId="498C4C89"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2E993B4C" w14:textId="00CBCFAB" w:rsidTr="00B673B9">
        <w:trPr>
          <w:trHeight w:val="981"/>
        </w:trPr>
        <w:tc>
          <w:tcPr>
            <w:tcW w:w="1843" w:type="dxa"/>
            <w:gridSpan w:val="2"/>
            <w:vMerge/>
            <w:shd w:val="clear" w:color="000000" w:fill="FFFFFF"/>
            <w:hideMark/>
          </w:tcPr>
          <w:p w14:paraId="2DCC9166"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hideMark/>
          </w:tcPr>
          <w:p w14:paraId="483EDC60" w14:textId="1629550A"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Take all necessary action to ensure and protect Ireland’s energy security</w:t>
            </w:r>
          </w:p>
        </w:tc>
        <w:tc>
          <w:tcPr>
            <w:tcW w:w="6237" w:type="dxa"/>
            <w:vAlign w:val="center"/>
          </w:tcPr>
          <w:p w14:paraId="3B11C39C" w14:textId="6172EDE1" w:rsidR="00690AF2" w:rsidRPr="002432CE" w:rsidRDefault="00690AF2" w:rsidP="00690AF2">
            <w:pPr>
              <w:rPr>
                <w:rFonts w:ascii="Times New Roman" w:hAnsi="Times New Roman" w:cs="Times New Roman"/>
                <w:sz w:val="24"/>
                <w:szCs w:val="24"/>
              </w:rPr>
            </w:pPr>
            <w:r w:rsidRPr="002432CE">
              <w:rPr>
                <w:rFonts w:ascii="Times New Roman" w:hAnsi="Times New Roman" w:cs="Times New Roman"/>
                <w:sz w:val="24"/>
                <w:szCs w:val="24"/>
              </w:rPr>
              <w:t>A state-led strategic gas emergency reserve will provide the resilience required to support our energy transition. It is intended for use only in the event of a significant disruption to gas supplies to protect Ireland’s citizens, economy and reputation from the possibility of energy curtailments.</w:t>
            </w:r>
          </w:p>
          <w:p w14:paraId="25EA71EB" w14:textId="040DC533" w:rsidR="00690AF2" w:rsidRPr="002432CE" w:rsidRDefault="00690AF2" w:rsidP="00690AF2">
            <w:pPr>
              <w:rPr>
                <w:rFonts w:ascii="Times New Roman" w:hAnsi="Times New Roman" w:cs="Times New Roman"/>
                <w:sz w:val="24"/>
                <w:szCs w:val="24"/>
              </w:rPr>
            </w:pPr>
            <w:r w:rsidRPr="002432CE">
              <w:rPr>
                <w:rFonts w:ascii="Times New Roman" w:hAnsi="Times New Roman" w:cs="Times New Roman"/>
                <w:sz w:val="24"/>
                <w:szCs w:val="24"/>
              </w:rPr>
              <w:t>Gas Networks Ireland, on behalf of the State, are progressing the delivery of this project through the relevant procurement, planning, environmental and regulatory processes, with appropriate stakeholder engagement, to develop this strategic reserve and mitigate the risk to Ireland's society and economy of an interruption to gas supplies. </w:t>
            </w:r>
          </w:p>
        </w:tc>
      </w:tr>
      <w:tr w:rsidR="00690AF2" w:rsidRPr="00E25D07" w14:paraId="5060F398" w14:textId="43975C10" w:rsidTr="00B673B9">
        <w:trPr>
          <w:trHeight w:val="895"/>
        </w:trPr>
        <w:tc>
          <w:tcPr>
            <w:tcW w:w="1843" w:type="dxa"/>
            <w:gridSpan w:val="2"/>
            <w:vMerge/>
            <w:shd w:val="clear" w:color="000000" w:fill="FFFFFF"/>
            <w:hideMark/>
          </w:tcPr>
          <w:p w14:paraId="40080482"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hideMark/>
          </w:tcPr>
          <w:p w14:paraId="6E80704C"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Expedite the publication of a Private Wires Policy Framework</w:t>
            </w:r>
          </w:p>
        </w:tc>
        <w:tc>
          <w:tcPr>
            <w:tcW w:w="6237" w:type="dxa"/>
            <w:vAlign w:val="center"/>
          </w:tcPr>
          <w:p w14:paraId="41200721" w14:textId="0B07D052" w:rsidR="00690AF2" w:rsidRPr="002432CE" w:rsidRDefault="00690AF2" w:rsidP="00690AF2">
            <w:pPr>
              <w:spacing w:after="0" w:line="240" w:lineRule="auto"/>
              <w:rPr>
                <w:rFonts w:ascii="Times New Roman" w:hAnsi="Times New Roman" w:cs="Times New Roman"/>
                <w:color w:val="0B0C0C"/>
                <w:sz w:val="24"/>
                <w:szCs w:val="24"/>
              </w:rPr>
            </w:pPr>
            <w:r w:rsidRPr="002432CE">
              <w:rPr>
                <w:rFonts w:ascii="Times New Roman" w:eastAsia="Times New Roman" w:hAnsi="Times New Roman" w:cs="Times New Roman"/>
                <w:kern w:val="0"/>
                <w:sz w:val="24"/>
                <w:szCs w:val="24"/>
                <w:lang w:eastAsia="en-IE"/>
                <w14:ligatures w14:val="none"/>
              </w:rPr>
              <w:t>In July 2025, the Government adopted a policy statement on Private Wires. This reformed policy will</w:t>
            </w:r>
            <w:r w:rsidRPr="002432CE">
              <w:rPr>
                <w:rFonts w:ascii="Times New Roman" w:hAnsi="Times New Roman" w:cs="Times New Roman"/>
                <w:color w:val="0B0C0C"/>
                <w:sz w:val="24"/>
                <w:szCs w:val="24"/>
              </w:rPr>
              <w:t xml:space="preserve"> unlock private sector investment in electricity infrastructure, particularly renewable generation and storage. It will also facilitate the provision of low-cost charging solutions for electric vehicles and expand opportunities for self-supply of electricity. </w:t>
            </w:r>
          </w:p>
          <w:p w14:paraId="1238D5AB" w14:textId="77777777" w:rsidR="00690AF2" w:rsidRPr="002432CE" w:rsidRDefault="00690AF2" w:rsidP="00690AF2">
            <w:pPr>
              <w:spacing w:after="0" w:line="240" w:lineRule="auto"/>
              <w:rPr>
                <w:rFonts w:ascii="Times New Roman" w:hAnsi="Times New Roman" w:cs="Times New Roman"/>
                <w:color w:val="0B0C0C"/>
                <w:sz w:val="24"/>
                <w:szCs w:val="24"/>
              </w:rPr>
            </w:pPr>
          </w:p>
          <w:p w14:paraId="2D7A5C8B" w14:textId="77777777" w:rsidR="00690AF2" w:rsidRPr="002432CE" w:rsidRDefault="00690AF2" w:rsidP="00690AF2">
            <w:pPr>
              <w:spacing w:after="0" w:line="240" w:lineRule="auto"/>
              <w:rPr>
                <w:rFonts w:ascii="Times New Roman" w:hAnsi="Times New Roman" w:cs="Times New Roman"/>
                <w:color w:val="0B0C0C"/>
                <w:sz w:val="24"/>
                <w:szCs w:val="24"/>
              </w:rPr>
            </w:pPr>
            <w:r w:rsidRPr="002432CE">
              <w:rPr>
                <w:rFonts w:ascii="Times New Roman" w:hAnsi="Times New Roman" w:cs="Times New Roman"/>
                <w:color w:val="0B0C0C"/>
                <w:sz w:val="24"/>
                <w:szCs w:val="24"/>
              </w:rPr>
              <w:t>DCEE is preparing a General Scheme of the primary legislation to implement this reform which is due to be presented to Government for approval by the end of this year.</w:t>
            </w:r>
          </w:p>
          <w:p w14:paraId="20B3A19D" w14:textId="04BE43B9" w:rsidR="00690AF2" w:rsidRPr="002432CE" w:rsidRDefault="00690AF2" w:rsidP="00690AF2">
            <w:pPr>
              <w:spacing w:after="0" w:line="240" w:lineRule="auto"/>
              <w:rPr>
                <w:rFonts w:ascii="Times New Roman" w:hAnsi="Times New Roman" w:cs="Times New Roman"/>
                <w:color w:val="0B0C0C"/>
                <w:sz w:val="24"/>
                <w:szCs w:val="24"/>
              </w:rPr>
            </w:pPr>
          </w:p>
        </w:tc>
      </w:tr>
      <w:tr w:rsidR="00690AF2" w:rsidRPr="00E25D07" w14:paraId="78DB2DA2" w14:textId="77777777" w:rsidTr="00B673B9">
        <w:trPr>
          <w:trHeight w:val="529"/>
        </w:trPr>
        <w:tc>
          <w:tcPr>
            <w:tcW w:w="1843" w:type="dxa"/>
            <w:gridSpan w:val="2"/>
            <w:vMerge/>
            <w:shd w:val="clear" w:color="000000" w:fill="FFFFFF"/>
          </w:tcPr>
          <w:p w14:paraId="7CAD7C32"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tcPr>
          <w:p w14:paraId="26827683" w14:textId="188ECDFC"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Develop and accelerate the roll-out of new electricity interconnectors to ensure Ireland is well positioned to be a net exporter of electricity to the UK and the EU.</w:t>
            </w:r>
          </w:p>
        </w:tc>
        <w:tc>
          <w:tcPr>
            <w:tcW w:w="6237" w:type="dxa"/>
            <w:vAlign w:val="center"/>
          </w:tcPr>
          <w:p w14:paraId="4E08E995" w14:textId="5C6467EC"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Ireland remains on course to deliver a five-fold increase in interconnection capacity over the course of a decade. The </w:t>
            </w:r>
            <w:proofErr w:type="spellStart"/>
            <w:r w:rsidRPr="002432CE">
              <w:rPr>
                <w:rFonts w:ascii="Times New Roman" w:eastAsia="Times New Roman" w:hAnsi="Times New Roman" w:cs="Times New Roman"/>
                <w:kern w:val="0"/>
                <w:sz w:val="24"/>
                <w:szCs w:val="24"/>
                <w:lang w:eastAsia="en-IE"/>
                <w14:ligatures w14:val="none"/>
              </w:rPr>
              <w:t>Greenlink</w:t>
            </w:r>
            <w:proofErr w:type="spellEnd"/>
            <w:r w:rsidRPr="002432CE">
              <w:rPr>
                <w:rFonts w:ascii="Times New Roman" w:eastAsia="Times New Roman" w:hAnsi="Times New Roman" w:cs="Times New Roman"/>
                <w:kern w:val="0"/>
                <w:sz w:val="24"/>
                <w:szCs w:val="24"/>
                <w:lang w:eastAsia="en-IE"/>
                <w14:ligatures w14:val="none"/>
              </w:rPr>
              <w:t xml:space="preserve"> Interconnector began commercial operations in January 2025. The Celtic Interconnector, reestablishing direct connectivity to the European market, will commence operations in 2028. The </w:t>
            </w:r>
            <w:proofErr w:type="spellStart"/>
            <w:r w:rsidRPr="002432CE">
              <w:rPr>
                <w:rFonts w:ascii="Times New Roman" w:eastAsia="Times New Roman" w:hAnsi="Times New Roman" w:cs="Times New Roman"/>
                <w:kern w:val="0"/>
                <w:sz w:val="24"/>
                <w:szCs w:val="24"/>
                <w:lang w:eastAsia="en-IE"/>
                <w14:ligatures w14:val="none"/>
              </w:rPr>
              <w:t>MaresConnect</w:t>
            </w:r>
            <w:proofErr w:type="spellEnd"/>
            <w:r w:rsidRPr="002432CE">
              <w:rPr>
                <w:rFonts w:ascii="Times New Roman" w:eastAsia="Times New Roman" w:hAnsi="Times New Roman" w:cs="Times New Roman"/>
                <w:kern w:val="0"/>
                <w:sz w:val="24"/>
                <w:szCs w:val="24"/>
                <w:lang w:eastAsia="en-IE"/>
                <w14:ligatures w14:val="none"/>
              </w:rPr>
              <w:t xml:space="preserve"> proposed interconnector with the UK is currently undergoing Initial Project Assessment by the CRU and aims to be operational in 2030.</w:t>
            </w:r>
          </w:p>
          <w:p w14:paraId="50E6E1EB"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p w14:paraId="589A2361" w14:textId="526D324B"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Ireland is collaborating regionally on energy infrastructure through the North Seas Energy Cooperation. The EU Commission intend to publish a revised framework for </w:t>
            </w:r>
            <w:r w:rsidRPr="002432CE">
              <w:rPr>
                <w:rFonts w:ascii="Times New Roman" w:eastAsia="Times New Roman" w:hAnsi="Times New Roman" w:cs="Times New Roman"/>
                <w:kern w:val="0"/>
                <w:sz w:val="24"/>
                <w:szCs w:val="24"/>
                <w:lang w:eastAsia="en-IE"/>
                <w14:ligatures w14:val="none"/>
              </w:rPr>
              <w:lastRenderedPageBreak/>
              <w:t xml:space="preserve">interconnectors as part of the European Grids Package in December 2025.  </w:t>
            </w:r>
          </w:p>
          <w:p w14:paraId="5DBEB965" w14:textId="610CD5DB"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11B0BB0C" w14:textId="264BC8AC" w:rsidTr="00B673B9">
        <w:trPr>
          <w:trHeight w:val="289"/>
        </w:trPr>
        <w:tc>
          <w:tcPr>
            <w:tcW w:w="1843" w:type="dxa"/>
            <w:gridSpan w:val="2"/>
            <w:vMerge/>
            <w:shd w:val="clear" w:color="000000" w:fill="FFFFFF"/>
            <w:hideMark/>
          </w:tcPr>
          <w:p w14:paraId="326DDBEC"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tcPr>
          <w:p w14:paraId="3814D15D" w14:textId="76D9C091"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Prioritise investment into our electricity grid to update our power generation systems to enhance security and affordability</w:t>
            </w:r>
          </w:p>
        </w:tc>
        <w:tc>
          <w:tcPr>
            <w:tcW w:w="6237" w:type="dxa"/>
            <w:vMerge w:val="restart"/>
            <w:vAlign w:val="center"/>
          </w:tcPr>
          <w:p w14:paraId="38E1A908" w14:textId="67735315" w:rsidR="00690AF2" w:rsidRPr="002432CE" w:rsidRDefault="00690AF2" w:rsidP="00690AF2">
            <w:pPr>
              <w:spacing w:after="0" w:line="240" w:lineRule="auto"/>
              <w:rPr>
                <w:rFonts w:ascii="Times New Roman" w:eastAsia="Times New Roman" w:hAnsi="Times New Roman" w:cs="Times New Roman"/>
                <w:sz w:val="24"/>
                <w:szCs w:val="24"/>
              </w:rPr>
            </w:pPr>
            <w:r w:rsidRPr="002432CE">
              <w:rPr>
                <w:rFonts w:ascii="Times New Roman" w:eastAsia="Times New Roman" w:hAnsi="Times New Roman" w:cs="Times New Roman"/>
                <w:color w:val="000000"/>
                <w:sz w:val="24"/>
                <w:szCs w:val="24"/>
              </w:rPr>
              <w:t xml:space="preserve">Government approval was received in July 2025 for €3.5bn investment in </w:t>
            </w:r>
            <w:proofErr w:type="spellStart"/>
            <w:r w:rsidRPr="002432CE">
              <w:rPr>
                <w:rFonts w:ascii="Times New Roman" w:eastAsia="Times New Roman" w:hAnsi="Times New Roman" w:cs="Times New Roman"/>
                <w:color w:val="000000"/>
                <w:sz w:val="24"/>
                <w:szCs w:val="24"/>
              </w:rPr>
              <w:t>EirGrid</w:t>
            </w:r>
            <w:proofErr w:type="spellEnd"/>
            <w:r w:rsidRPr="002432CE">
              <w:rPr>
                <w:rFonts w:ascii="Times New Roman" w:eastAsia="Times New Roman" w:hAnsi="Times New Roman" w:cs="Times New Roman"/>
                <w:color w:val="000000"/>
                <w:sz w:val="24"/>
                <w:szCs w:val="24"/>
              </w:rPr>
              <w:t xml:space="preserve"> and ESB to facilitate the investment programme of up to €18.1bn out to 2030 and connection of 5GW offshore wind. </w:t>
            </w:r>
          </w:p>
          <w:p w14:paraId="4F750A79" w14:textId="77777777" w:rsidR="00690AF2" w:rsidRPr="002432CE" w:rsidRDefault="00690AF2" w:rsidP="00690AF2">
            <w:pPr>
              <w:spacing w:after="0" w:line="240" w:lineRule="auto"/>
              <w:rPr>
                <w:rFonts w:ascii="Times New Roman" w:eastAsia="Times New Roman" w:hAnsi="Times New Roman" w:cs="Times New Roman"/>
                <w:color w:val="000000"/>
                <w:sz w:val="24"/>
                <w:szCs w:val="24"/>
              </w:rPr>
            </w:pPr>
          </w:p>
          <w:p w14:paraId="441E6DD9" w14:textId="2DF186E3" w:rsidR="00690AF2" w:rsidRPr="002432CE" w:rsidRDefault="00690AF2" w:rsidP="00690AF2">
            <w:pPr>
              <w:spacing w:after="0" w:line="240" w:lineRule="auto"/>
              <w:rPr>
                <w:rFonts w:ascii="Times New Roman" w:eastAsia="Times New Roman" w:hAnsi="Times New Roman" w:cs="Times New Roman"/>
                <w:sz w:val="24"/>
                <w:szCs w:val="24"/>
              </w:rPr>
            </w:pPr>
            <w:r w:rsidRPr="002432CE">
              <w:rPr>
                <w:rFonts w:ascii="Times New Roman" w:eastAsia="Times New Roman" w:hAnsi="Times New Roman" w:cs="Times New Roman"/>
                <w:color w:val="000000"/>
                <w:sz w:val="24"/>
                <w:szCs w:val="24"/>
              </w:rPr>
              <w:t>The Electricity (Supply)(Amendment) Act 2025 was enacted to facilitate the investment of €1.5bn in ESB by end of 2025 for onshore electricity network infrastructure.</w:t>
            </w:r>
          </w:p>
          <w:p w14:paraId="661F7AB3" w14:textId="77777777" w:rsidR="00690AF2" w:rsidRPr="002432CE" w:rsidRDefault="00690AF2" w:rsidP="00690AF2">
            <w:pPr>
              <w:spacing w:after="0" w:line="240" w:lineRule="auto"/>
              <w:rPr>
                <w:rFonts w:ascii="Times New Roman" w:eastAsia="Times New Roman" w:hAnsi="Times New Roman" w:cs="Times New Roman"/>
                <w:color w:val="000000"/>
                <w:sz w:val="24"/>
                <w:szCs w:val="24"/>
              </w:rPr>
            </w:pPr>
          </w:p>
          <w:p w14:paraId="6ACCD0CC" w14:textId="0D1F71B9" w:rsidR="00690AF2" w:rsidRPr="002432CE" w:rsidRDefault="00690AF2" w:rsidP="00690AF2">
            <w:pPr>
              <w:spacing w:after="0" w:line="240" w:lineRule="auto"/>
              <w:rPr>
                <w:rFonts w:ascii="Times New Roman" w:eastAsia="Times New Roman" w:hAnsi="Times New Roman" w:cs="Times New Roman"/>
                <w:color w:val="000000"/>
                <w:sz w:val="24"/>
                <w:szCs w:val="24"/>
              </w:rPr>
            </w:pPr>
            <w:r w:rsidRPr="002432CE">
              <w:rPr>
                <w:rFonts w:ascii="Times New Roman" w:eastAsia="Times New Roman" w:hAnsi="Times New Roman" w:cs="Times New Roman"/>
                <w:color w:val="000000"/>
                <w:sz w:val="24"/>
                <w:szCs w:val="24"/>
              </w:rPr>
              <w:t>Legislation to be introduced by</w:t>
            </w:r>
            <w:r w:rsidR="00DC1D46">
              <w:rPr>
                <w:rFonts w:ascii="Times New Roman" w:eastAsia="Times New Roman" w:hAnsi="Times New Roman" w:cs="Times New Roman"/>
                <w:color w:val="000000"/>
                <w:sz w:val="24"/>
                <w:szCs w:val="24"/>
              </w:rPr>
              <w:t xml:space="preserve"> </w:t>
            </w:r>
            <w:r w:rsidRPr="002432CE">
              <w:rPr>
                <w:rFonts w:ascii="Times New Roman" w:eastAsia="Times New Roman" w:hAnsi="Times New Roman" w:cs="Times New Roman"/>
                <w:color w:val="000000"/>
                <w:sz w:val="24"/>
                <w:szCs w:val="24"/>
              </w:rPr>
              <w:t xml:space="preserve">to facilitate the investment of €2bn in </w:t>
            </w:r>
            <w:proofErr w:type="spellStart"/>
            <w:r w:rsidRPr="002432CE">
              <w:rPr>
                <w:rFonts w:ascii="Times New Roman" w:eastAsia="Times New Roman" w:hAnsi="Times New Roman" w:cs="Times New Roman"/>
                <w:color w:val="000000"/>
                <w:sz w:val="24"/>
                <w:szCs w:val="24"/>
              </w:rPr>
              <w:t>EirGrid</w:t>
            </w:r>
            <w:proofErr w:type="spellEnd"/>
            <w:r w:rsidRPr="002432CE">
              <w:rPr>
                <w:rFonts w:ascii="Times New Roman" w:eastAsia="Times New Roman" w:hAnsi="Times New Roman" w:cs="Times New Roman"/>
                <w:color w:val="000000"/>
                <w:sz w:val="24"/>
                <w:szCs w:val="24"/>
              </w:rPr>
              <w:t xml:space="preserve"> for offshore electricity network infrastructure. </w:t>
            </w:r>
          </w:p>
          <w:p w14:paraId="445E30A5" w14:textId="10855521" w:rsidR="00690AF2" w:rsidRPr="002432CE" w:rsidRDefault="00690AF2" w:rsidP="00690AF2">
            <w:pPr>
              <w:spacing w:after="0" w:line="240" w:lineRule="auto"/>
              <w:rPr>
                <w:rFonts w:ascii="Times New Roman" w:eastAsia="Times New Roman" w:hAnsi="Times New Roman" w:cs="Times New Roman"/>
                <w:sz w:val="24"/>
                <w:szCs w:val="24"/>
              </w:rPr>
            </w:pPr>
          </w:p>
        </w:tc>
      </w:tr>
      <w:tr w:rsidR="00690AF2" w:rsidRPr="00E25D07" w14:paraId="56256A2B" w14:textId="6C7D12B0" w:rsidTr="00B673B9">
        <w:trPr>
          <w:trHeight w:val="289"/>
        </w:trPr>
        <w:tc>
          <w:tcPr>
            <w:tcW w:w="1843" w:type="dxa"/>
            <w:gridSpan w:val="2"/>
            <w:vMerge/>
            <w:shd w:val="clear" w:color="000000" w:fill="FFFFFF"/>
            <w:hideMark/>
          </w:tcPr>
          <w:p w14:paraId="4404822B"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tcPr>
          <w:p w14:paraId="05C448B1" w14:textId="1ABD664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Scale up investment in critical infrastructure and in our electricity grid</w:t>
            </w:r>
          </w:p>
        </w:tc>
        <w:tc>
          <w:tcPr>
            <w:tcW w:w="6237" w:type="dxa"/>
            <w:vMerge/>
            <w:vAlign w:val="center"/>
          </w:tcPr>
          <w:p w14:paraId="1542E798"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229DBDB9" w14:textId="04B8DD5D" w:rsidTr="00B673B9">
        <w:trPr>
          <w:trHeight w:val="289"/>
        </w:trPr>
        <w:tc>
          <w:tcPr>
            <w:tcW w:w="1843" w:type="dxa"/>
            <w:gridSpan w:val="2"/>
            <w:vMerge/>
            <w:shd w:val="clear" w:color="000000" w:fill="FFFFFF"/>
            <w:hideMark/>
          </w:tcPr>
          <w:p w14:paraId="6D5C8CB0"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tcPr>
          <w:p w14:paraId="731C600D" w14:textId="19B3A12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Enact legislation in 2025 to accelerate the roll out of district heating systems</w:t>
            </w:r>
          </w:p>
        </w:tc>
        <w:tc>
          <w:tcPr>
            <w:tcW w:w="6237" w:type="dxa"/>
            <w:vAlign w:val="center"/>
          </w:tcPr>
          <w:p w14:paraId="4310E824" w14:textId="56D1EF07" w:rsidR="00690AF2" w:rsidRPr="002432CE" w:rsidRDefault="00690AF2" w:rsidP="00690AF2">
            <w:pPr>
              <w:rPr>
                <w:rFonts w:ascii="Times New Roman" w:hAnsi="Times New Roman" w:cs="Times New Roman"/>
                <w:color w:val="000000"/>
                <w:sz w:val="24"/>
                <w:szCs w:val="24"/>
              </w:rPr>
            </w:pPr>
            <w:r w:rsidRPr="002432CE">
              <w:rPr>
                <w:rFonts w:ascii="Times New Roman" w:hAnsi="Times New Roman" w:cs="Times New Roman"/>
                <w:color w:val="000000"/>
                <w:sz w:val="24"/>
                <w:szCs w:val="24"/>
              </w:rPr>
              <w:t>The Heat (</w:t>
            </w:r>
            <w:r w:rsidR="00491CB0">
              <w:rPr>
                <w:rFonts w:ascii="Times New Roman" w:hAnsi="Times New Roman" w:cs="Times New Roman"/>
                <w:color w:val="000000"/>
                <w:sz w:val="24"/>
                <w:szCs w:val="24"/>
              </w:rPr>
              <w:t>N</w:t>
            </w:r>
            <w:r w:rsidRPr="002432CE">
              <w:rPr>
                <w:rFonts w:ascii="Times New Roman" w:hAnsi="Times New Roman" w:cs="Times New Roman"/>
                <w:color w:val="000000"/>
                <w:sz w:val="24"/>
                <w:szCs w:val="24"/>
              </w:rPr>
              <w:t xml:space="preserve">etworks and </w:t>
            </w:r>
            <w:r w:rsidR="00491CB0">
              <w:rPr>
                <w:rFonts w:ascii="Times New Roman" w:hAnsi="Times New Roman" w:cs="Times New Roman"/>
                <w:color w:val="000000"/>
                <w:sz w:val="24"/>
                <w:szCs w:val="24"/>
              </w:rPr>
              <w:t>M</w:t>
            </w:r>
            <w:r w:rsidRPr="002432CE">
              <w:rPr>
                <w:rFonts w:ascii="Times New Roman" w:hAnsi="Times New Roman" w:cs="Times New Roman"/>
                <w:color w:val="000000"/>
                <w:sz w:val="24"/>
                <w:szCs w:val="24"/>
              </w:rPr>
              <w:t xml:space="preserve">iscellaneous </w:t>
            </w:r>
            <w:r w:rsidR="00491CB0">
              <w:rPr>
                <w:rFonts w:ascii="Times New Roman" w:hAnsi="Times New Roman" w:cs="Times New Roman"/>
                <w:color w:val="000000"/>
                <w:sz w:val="24"/>
                <w:szCs w:val="24"/>
              </w:rPr>
              <w:t>P</w:t>
            </w:r>
            <w:r w:rsidRPr="002432CE">
              <w:rPr>
                <w:rFonts w:ascii="Times New Roman" w:hAnsi="Times New Roman" w:cs="Times New Roman"/>
                <w:color w:val="000000"/>
                <w:sz w:val="24"/>
                <w:szCs w:val="24"/>
              </w:rPr>
              <w:t xml:space="preserve">rovision) Bill is currently undergoing initial drafting. </w:t>
            </w:r>
          </w:p>
        </w:tc>
      </w:tr>
      <w:tr w:rsidR="00690AF2" w:rsidRPr="00E25D07" w14:paraId="1B5CC7C3" w14:textId="7AA67F1F" w:rsidTr="00B673B9">
        <w:trPr>
          <w:trHeight w:val="289"/>
        </w:trPr>
        <w:tc>
          <w:tcPr>
            <w:tcW w:w="1843" w:type="dxa"/>
            <w:gridSpan w:val="2"/>
            <w:vMerge/>
            <w:shd w:val="clear" w:color="000000" w:fill="FFFFFF"/>
            <w:hideMark/>
          </w:tcPr>
          <w:p w14:paraId="1884245F"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tcPr>
          <w:p w14:paraId="2005D8D9" w14:textId="0518C98C"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Ramp up our targets to deliver more B2 equivalent home retrofits each year </w:t>
            </w:r>
          </w:p>
        </w:tc>
        <w:tc>
          <w:tcPr>
            <w:tcW w:w="6237" w:type="dxa"/>
            <w:vMerge w:val="restart"/>
            <w:vAlign w:val="center"/>
          </w:tcPr>
          <w:p w14:paraId="71703F77" w14:textId="77777777" w:rsidR="00A54C3C" w:rsidRDefault="00A54C3C" w:rsidP="00690AF2">
            <w:pPr>
              <w:spacing w:after="0" w:line="240" w:lineRule="auto"/>
              <w:rPr>
                <w:rFonts w:ascii="Times New Roman" w:eastAsia="Times New Roman" w:hAnsi="Times New Roman" w:cs="Times New Roman"/>
                <w:kern w:val="0"/>
                <w:sz w:val="24"/>
                <w:szCs w:val="24"/>
                <w:lang w:eastAsia="en-IE"/>
                <w14:ligatures w14:val="none"/>
              </w:rPr>
            </w:pPr>
            <w:r w:rsidRPr="00A54C3C">
              <w:rPr>
                <w:rFonts w:ascii="Times New Roman" w:eastAsia="Times New Roman" w:hAnsi="Times New Roman" w:cs="Times New Roman"/>
                <w:kern w:val="0"/>
                <w:sz w:val="24"/>
                <w:szCs w:val="24"/>
                <w:lang w:eastAsia="en-IE"/>
                <w14:ligatures w14:val="none"/>
              </w:rPr>
              <w:t xml:space="preserve">A National Residential Retrofit Plan is being implemented, supported by SEAI grants and low-cost finance. </w:t>
            </w:r>
          </w:p>
          <w:p w14:paraId="1A3634C5" w14:textId="45B43873" w:rsidR="00A54C3C" w:rsidRDefault="00A54C3C" w:rsidP="00690AF2">
            <w:pPr>
              <w:spacing w:after="0" w:line="240" w:lineRule="auto"/>
              <w:rPr>
                <w:rFonts w:ascii="Times New Roman" w:eastAsia="Times New Roman" w:hAnsi="Times New Roman" w:cs="Times New Roman"/>
                <w:kern w:val="0"/>
                <w:sz w:val="24"/>
                <w:szCs w:val="24"/>
                <w:lang w:eastAsia="en-IE"/>
                <w14:ligatures w14:val="none"/>
              </w:rPr>
            </w:pPr>
            <w:r w:rsidRPr="00A54C3C">
              <w:rPr>
                <w:rFonts w:ascii="Times New Roman" w:eastAsia="Times New Roman" w:hAnsi="Times New Roman" w:cs="Times New Roman"/>
                <w:kern w:val="0"/>
                <w:sz w:val="24"/>
                <w:szCs w:val="24"/>
                <w:lang w:eastAsia="en-IE"/>
                <w14:ligatures w14:val="none"/>
              </w:rPr>
              <w:t>In 2025, 58,128 home energy upgrades were completed (up 8% on 2024). This included 26,232 B2 upgrades completed (up 20% on 2024) and 8,139 fully funded energy upgrades under Warmer Homes Scheme (up 5% on 2024).</w:t>
            </w:r>
            <w:r>
              <w:rPr>
                <w:rFonts w:ascii="Times New Roman" w:eastAsia="Times New Roman" w:hAnsi="Times New Roman" w:cs="Times New Roman"/>
                <w:kern w:val="0"/>
                <w:sz w:val="24"/>
                <w:szCs w:val="24"/>
                <w:lang w:eastAsia="en-IE"/>
                <w14:ligatures w14:val="none"/>
              </w:rPr>
              <w:t xml:space="preserve"> </w:t>
            </w:r>
            <w:r w:rsidRPr="00A54C3C">
              <w:rPr>
                <w:rFonts w:ascii="Times New Roman" w:eastAsia="Times New Roman" w:hAnsi="Times New Roman" w:cs="Times New Roman"/>
                <w:kern w:val="0"/>
                <w:sz w:val="24"/>
                <w:szCs w:val="24"/>
                <w:lang w:eastAsia="en-IE"/>
                <w14:ligatures w14:val="none"/>
              </w:rPr>
              <w:t xml:space="preserve">54% of the total expenditure on residential and community retrofit under SEAI schemes in 2025 was on upgrades in households at risk of energy poverty. </w:t>
            </w:r>
          </w:p>
          <w:p w14:paraId="23AB56B6" w14:textId="77777777" w:rsidR="00A54C3C" w:rsidRDefault="00A54C3C" w:rsidP="00690AF2">
            <w:pPr>
              <w:spacing w:after="0" w:line="240" w:lineRule="auto"/>
              <w:rPr>
                <w:rFonts w:ascii="Times New Roman" w:eastAsia="Times New Roman" w:hAnsi="Times New Roman" w:cs="Times New Roman"/>
                <w:kern w:val="0"/>
                <w:sz w:val="24"/>
                <w:szCs w:val="24"/>
                <w:lang w:eastAsia="en-IE"/>
                <w14:ligatures w14:val="none"/>
              </w:rPr>
            </w:pPr>
          </w:p>
          <w:p w14:paraId="15C2846E" w14:textId="77777777" w:rsidR="00A54C3C" w:rsidRDefault="00A54C3C" w:rsidP="00690AF2">
            <w:pPr>
              <w:spacing w:after="0" w:line="240" w:lineRule="auto"/>
              <w:rPr>
                <w:rFonts w:ascii="Times New Roman" w:eastAsia="Times New Roman" w:hAnsi="Times New Roman" w:cs="Times New Roman"/>
                <w:kern w:val="0"/>
                <w:sz w:val="24"/>
                <w:szCs w:val="24"/>
                <w:lang w:eastAsia="en-IE"/>
                <w14:ligatures w14:val="none"/>
              </w:rPr>
            </w:pPr>
            <w:r w:rsidRPr="00A54C3C">
              <w:rPr>
                <w:rFonts w:ascii="Times New Roman" w:eastAsia="Times New Roman" w:hAnsi="Times New Roman" w:cs="Times New Roman"/>
                <w:kern w:val="0"/>
                <w:sz w:val="24"/>
                <w:szCs w:val="24"/>
                <w:lang w:eastAsia="en-IE"/>
                <w14:ligatures w14:val="none"/>
              </w:rPr>
              <w:t xml:space="preserve">Data for the first quarter of this year shows a very positive upward trend – in both demand and output. In the first quarter of 2026, over 12,000 homes have been upgraded through SEAI schemes, including over 1,500 homes at risk of energy poverty under the Warmer Homes Scheme. </w:t>
            </w:r>
          </w:p>
          <w:p w14:paraId="7A20EBDA" w14:textId="77777777" w:rsidR="00A54C3C" w:rsidRDefault="00A54C3C" w:rsidP="00690AF2">
            <w:pPr>
              <w:spacing w:after="0" w:line="240" w:lineRule="auto"/>
              <w:rPr>
                <w:rFonts w:ascii="Times New Roman" w:eastAsia="Times New Roman" w:hAnsi="Times New Roman" w:cs="Times New Roman"/>
                <w:kern w:val="0"/>
                <w:sz w:val="24"/>
                <w:szCs w:val="24"/>
                <w:lang w:eastAsia="en-IE"/>
                <w14:ligatures w14:val="none"/>
              </w:rPr>
            </w:pPr>
          </w:p>
          <w:p w14:paraId="6067C47E" w14:textId="625F392A" w:rsidR="00690AF2" w:rsidRPr="002432CE" w:rsidRDefault="00A54C3C" w:rsidP="00690AF2">
            <w:pPr>
              <w:spacing w:after="0" w:line="240" w:lineRule="auto"/>
              <w:rPr>
                <w:rFonts w:ascii="Times New Roman" w:eastAsia="Times New Roman" w:hAnsi="Times New Roman" w:cs="Times New Roman"/>
                <w:kern w:val="0"/>
                <w:sz w:val="24"/>
                <w:szCs w:val="24"/>
                <w:lang w:eastAsia="en-IE"/>
                <w14:ligatures w14:val="none"/>
              </w:rPr>
            </w:pPr>
            <w:r w:rsidRPr="00A54C3C">
              <w:rPr>
                <w:rFonts w:ascii="Times New Roman" w:eastAsia="Times New Roman" w:hAnsi="Times New Roman" w:cs="Times New Roman"/>
                <w:kern w:val="0"/>
                <w:sz w:val="24"/>
                <w:szCs w:val="24"/>
                <w:lang w:eastAsia="en-IE"/>
                <w14:ligatures w14:val="none"/>
              </w:rPr>
              <w:t>Applications to SEAI so far in 2026 (year-on-year) have doubled. Over 40,000 applications were processed between January and the end of April. Since the formation of this Government, over 70,000 homes have been upgraded, including over 9,600 under the Warmer Homes scheme.</w:t>
            </w:r>
          </w:p>
        </w:tc>
      </w:tr>
      <w:tr w:rsidR="00690AF2" w:rsidRPr="00E25D07" w14:paraId="75F75AB0" w14:textId="07E9F5E9" w:rsidTr="00B673B9">
        <w:trPr>
          <w:trHeight w:val="289"/>
        </w:trPr>
        <w:tc>
          <w:tcPr>
            <w:tcW w:w="1843" w:type="dxa"/>
            <w:gridSpan w:val="2"/>
            <w:vMerge/>
            <w:shd w:val="clear" w:color="000000" w:fill="FFFFFF"/>
            <w:hideMark/>
          </w:tcPr>
          <w:p w14:paraId="51684FE4"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tcPr>
          <w:p w14:paraId="5625749C" w14:textId="22F8C386"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Revise and improve the provision of grants and financing models for homeowners who wish to retrofit</w:t>
            </w:r>
          </w:p>
        </w:tc>
        <w:tc>
          <w:tcPr>
            <w:tcW w:w="6237" w:type="dxa"/>
            <w:vMerge/>
            <w:vAlign w:val="center"/>
          </w:tcPr>
          <w:p w14:paraId="358BA0D8"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713634B3" w14:textId="77777777" w:rsidTr="00B673B9">
        <w:trPr>
          <w:trHeight w:val="289"/>
        </w:trPr>
        <w:tc>
          <w:tcPr>
            <w:tcW w:w="1843" w:type="dxa"/>
            <w:gridSpan w:val="2"/>
            <w:vMerge/>
            <w:shd w:val="clear" w:color="000000" w:fill="FFFFFF"/>
          </w:tcPr>
          <w:p w14:paraId="36E4470F"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tcPr>
          <w:p w14:paraId="484CB86B" w14:textId="0006565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Target older homes still using oil to switch to renewable heating systems</w:t>
            </w:r>
          </w:p>
        </w:tc>
        <w:tc>
          <w:tcPr>
            <w:tcW w:w="6237" w:type="dxa"/>
            <w:vMerge/>
            <w:vAlign w:val="center"/>
          </w:tcPr>
          <w:p w14:paraId="6BB74746"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6C6AAEB7" w14:textId="48A656F5" w:rsidTr="00B673B9">
        <w:trPr>
          <w:trHeight w:val="289"/>
        </w:trPr>
        <w:tc>
          <w:tcPr>
            <w:tcW w:w="1843" w:type="dxa"/>
            <w:gridSpan w:val="2"/>
            <w:vMerge/>
            <w:shd w:val="clear" w:color="000000" w:fill="FFFFFF"/>
            <w:hideMark/>
          </w:tcPr>
          <w:p w14:paraId="2D5EFFDC"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tcPr>
          <w:p w14:paraId="47A051B0" w14:textId="30154EEE"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Promote the €500 million Home Energy Upgrade Loan Scheme, offering low interest loans for home energy upgrades, from €5,000 to €75,000.</w:t>
            </w:r>
          </w:p>
        </w:tc>
        <w:tc>
          <w:tcPr>
            <w:tcW w:w="6237" w:type="dxa"/>
            <w:vMerge/>
            <w:vAlign w:val="center"/>
          </w:tcPr>
          <w:p w14:paraId="3062E2B3"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777142E5" w14:textId="6517B141" w:rsidTr="00B673B9">
        <w:trPr>
          <w:trHeight w:val="289"/>
        </w:trPr>
        <w:tc>
          <w:tcPr>
            <w:tcW w:w="1843" w:type="dxa"/>
            <w:gridSpan w:val="2"/>
            <w:vMerge/>
            <w:shd w:val="clear" w:color="000000" w:fill="FFFFFF"/>
            <w:hideMark/>
          </w:tcPr>
          <w:p w14:paraId="64C5D4A3"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hideMark/>
          </w:tcPr>
          <w:p w14:paraId="592EE76E"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Acknowledging the increased energy cost pressures on households and businesses, bring forward taxation measures to help </w:t>
            </w:r>
            <w:r w:rsidRPr="002432CE">
              <w:rPr>
                <w:rFonts w:ascii="Times New Roman" w:eastAsia="Times New Roman" w:hAnsi="Times New Roman" w:cs="Times New Roman"/>
                <w:kern w:val="0"/>
                <w:sz w:val="24"/>
                <w:szCs w:val="24"/>
                <w:lang w:eastAsia="en-IE"/>
                <w14:ligatures w14:val="none"/>
              </w:rPr>
              <w:lastRenderedPageBreak/>
              <w:t>contain energy costs, including with regard to VAT.</w:t>
            </w:r>
          </w:p>
        </w:tc>
        <w:tc>
          <w:tcPr>
            <w:tcW w:w="6237" w:type="dxa"/>
            <w:vMerge w:val="restart"/>
            <w:vAlign w:val="center"/>
          </w:tcPr>
          <w:p w14:paraId="43CD27C6"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lastRenderedPageBreak/>
              <w:t>The reduced 9% VAT rate on electricity and gas has been extended until 31 December 2030, to help reduce household energy costs by up to €100 per annum.</w:t>
            </w:r>
          </w:p>
          <w:p w14:paraId="2DC2885E"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p w14:paraId="307BB33E" w14:textId="718245F4"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The €400 income tax disregard for certain profits arising from the micro-generation of electricity is being extended for a further three years to 31 December 2028. The relief applies to </w:t>
            </w:r>
            <w:r w:rsidRPr="002432CE">
              <w:rPr>
                <w:rFonts w:ascii="Times New Roman" w:eastAsia="Times New Roman" w:hAnsi="Times New Roman" w:cs="Times New Roman"/>
                <w:kern w:val="0"/>
                <w:sz w:val="24"/>
                <w:szCs w:val="24"/>
                <w:lang w:eastAsia="en-IE"/>
                <w14:ligatures w14:val="none"/>
              </w:rPr>
              <w:lastRenderedPageBreak/>
              <w:t>a qualifying individual who generates energy from renewable, sustainable or alternative energy sources for their own consumption, and who sells surplus electricity to the grid.</w:t>
            </w:r>
          </w:p>
          <w:p w14:paraId="7018EAD7"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p w14:paraId="2D3A3B28" w14:textId="455F3249" w:rsidR="00690AF2"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The Accelerated Capital Allowances (ACA) scheme for energy-efficient equipment is extended until 31 December 2030, encouraging investment in low-emission technology among businesses.</w:t>
            </w:r>
          </w:p>
          <w:p w14:paraId="55592223" w14:textId="77777777" w:rsidR="00A54C3C" w:rsidRDefault="00A54C3C" w:rsidP="00690AF2">
            <w:pPr>
              <w:spacing w:after="0" w:line="240" w:lineRule="auto"/>
              <w:rPr>
                <w:rFonts w:ascii="Times New Roman" w:eastAsia="Times New Roman" w:hAnsi="Times New Roman" w:cs="Times New Roman"/>
                <w:kern w:val="0"/>
                <w:sz w:val="24"/>
                <w:szCs w:val="24"/>
                <w:lang w:eastAsia="en-IE"/>
                <w14:ligatures w14:val="none"/>
              </w:rPr>
            </w:pPr>
          </w:p>
          <w:p w14:paraId="520C6438" w14:textId="20C2B437" w:rsidR="00A54C3C" w:rsidRPr="002432CE" w:rsidRDefault="00A54C3C" w:rsidP="00690AF2">
            <w:pPr>
              <w:spacing w:after="0" w:line="240" w:lineRule="auto"/>
              <w:rPr>
                <w:rFonts w:ascii="Times New Roman" w:eastAsia="Times New Roman" w:hAnsi="Times New Roman" w:cs="Times New Roman"/>
                <w:kern w:val="0"/>
                <w:sz w:val="24"/>
                <w:szCs w:val="24"/>
                <w:lang w:eastAsia="en-IE"/>
                <w14:ligatures w14:val="none"/>
              </w:rPr>
            </w:pPr>
            <w:r w:rsidRPr="00A54C3C">
              <w:rPr>
                <w:rFonts w:ascii="Times New Roman" w:eastAsia="Times New Roman" w:hAnsi="Times New Roman" w:cs="Times New Roman"/>
                <w:kern w:val="0"/>
                <w:sz w:val="24"/>
                <w:szCs w:val="24"/>
                <w:lang w:eastAsia="en-IE"/>
                <w14:ligatures w14:val="none"/>
              </w:rPr>
              <w:t>The two</w:t>
            </w:r>
            <w:r>
              <w:rPr>
                <w:rFonts w:ascii="Times New Roman" w:eastAsia="Times New Roman" w:hAnsi="Times New Roman" w:cs="Times New Roman"/>
                <w:kern w:val="0"/>
                <w:sz w:val="24"/>
                <w:szCs w:val="24"/>
                <w:lang w:eastAsia="en-IE"/>
                <w14:ligatures w14:val="none"/>
              </w:rPr>
              <w:t>-</w:t>
            </w:r>
            <w:r w:rsidRPr="00A54C3C">
              <w:rPr>
                <w:rFonts w:ascii="Times New Roman" w:eastAsia="Times New Roman" w:hAnsi="Times New Roman" w:cs="Times New Roman"/>
                <w:kern w:val="0"/>
                <w:sz w:val="24"/>
                <w:szCs w:val="24"/>
                <w:lang w:eastAsia="en-IE"/>
                <w14:ligatures w14:val="none"/>
              </w:rPr>
              <w:t>way structure of the Renewable Electricity Support Scheme means that, during periods of high wholesale electricity prices, RESS projects return money to consumers, thereby shielding households and businesses from the full impact of price spikes.</w:t>
            </w:r>
          </w:p>
          <w:p w14:paraId="45C79319"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p w14:paraId="376EB088" w14:textId="2F74368E"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The Department is leading the Cross Government Energy Affordability Taskforce which aims to identify, assess and implement measures that will enhance energy affordability for households and businesses, operating within the broader policy context set by the Programme for Government and Climate Action and Low Carbon Development (Amendment) Act 2021. A key output of this Taskforce will be to develop and publish an Energy Affordability Action Plan which will identify a comprehensive range of solutions including demand-side solutions for households to allow them to adjust their energy demand and avail of low cost, or otherwise surplus renewable energy.</w:t>
            </w:r>
          </w:p>
          <w:p w14:paraId="58F7FDED" w14:textId="2DFC3769" w:rsidR="00690AF2" w:rsidRPr="002432CE" w:rsidRDefault="00690AF2" w:rsidP="00690AF2">
            <w:pPr>
              <w:pStyle w:val="ListParagraph"/>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07FD63AD" w14:textId="77777777" w:rsidTr="00B673B9">
        <w:trPr>
          <w:trHeight w:val="289"/>
        </w:trPr>
        <w:tc>
          <w:tcPr>
            <w:tcW w:w="1843" w:type="dxa"/>
            <w:gridSpan w:val="2"/>
            <w:vMerge/>
            <w:shd w:val="clear" w:color="000000" w:fill="FFFFFF"/>
          </w:tcPr>
          <w:p w14:paraId="1CC618A5"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tcPr>
          <w:p w14:paraId="4A0F52E6" w14:textId="21F4ABE2"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Explore ways to use surplus renewable energy to help reduce energy poverty, ensuring that renewable energy benefits all communities.</w:t>
            </w:r>
          </w:p>
        </w:tc>
        <w:tc>
          <w:tcPr>
            <w:tcW w:w="6237" w:type="dxa"/>
            <w:vMerge/>
            <w:vAlign w:val="center"/>
          </w:tcPr>
          <w:p w14:paraId="2487C781"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3B2ED0F4" w14:textId="289E4993" w:rsidTr="00B673B9">
        <w:trPr>
          <w:trHeight w:val="300"/>
        </w:trPr>
        <w:tc>
          <w:tcPr>
            <w:tcW w:w="1843" w:type="dxa"/>
            <w:gridSpan w:val="2"/>
            <w:vMerge w:val="restart"/>
            <w:hideMark/>
          </w:tcPr>
          <w:p w14:paraId="49D6A907" w14:textId="7AFBD8AC" w:rsidR="00690AF2" w:rsidRPr="00E25D07" w:rsidRDefault="00690AF2" w:rsidP="00690AF2">
            <w:pPr>
              <w:spacing w:after="0" w:line="240" w:lineRule="auto"/>
              <w:jc w:val="center"/>
              <w:rPr>
                <w:rFonts w:ascii="Times New Roman" w:eastAsia="Times New Roman" w:hAnsi="Times New Roman" w:cs="Times New Roman"/>
                <w:i/>
                <w:iCs/>
                <w:kern w:val="0"/>
                <w:sz w:val="24"/>
                <w:szCs w:val="24"/>
                <w:lang w:eastAsia="en-IE"/>
                <w14:ligatures w14:val="none"/>
              </w:rPr>
            </w:pPr>
            <w:r w:rsidRPr="00E25D07">
              <w:rPr>
                <w:rFonts w:ascii="Times New Roman" w:eastAsia="Times New Roman" w:hAnsi="Times New Roman" w:cs="Times New Roman"/>
                <w:i/>
                <w:iCs/>
                <w:kern w:val="0"/>
                <w:sz w:val="24"/>
                <w:szCs w:val="24"/>
                <w:lang w:eastAsia="en-IE"/>
                <w14:ligatures w14:val="none"/>
              </w:rPr>
              <w:t>"Protect and enhance our environment and improve the circular and resource-efficient economy"</w:t>
            </w:r>
          </w:p>
        </w:tc>
        <w:tc>
          <w:tcPr>
            <w:tcW w:w="2267" w:type="dxa"/>
            <w:noWrap/>
            <w:vAlign w:val="center"/>
            <w:hideMark/>
          </w:tcPr>
          <w:p w14:paraId="0CDAA669"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Support enterprises in the circular economy </w:t>
            </w:r>
          </w:p>
        </w:tc>
        <w:tc>
          <w:tcPr>
            <w:tcW w:w="6237" w:type="dxa"/>
            <w:vMerge w:val="restart"/>
            <w:vAlign w:val="center"/>
          </w:tcPr>
          <w:p w14:paraId="0012A152" w14:textId="4837E108" w:rsidR="00A54C3C" w:rsidRDefault="00A54C3C" w:rsidP="00690AF2">
            <w:pPr>
              <w:spacing w:after="0" w:line="240" w:lineRule="auto"/>
              <w:rPr>
                <w:rFonts w:ascii="Times New Roman" w:eastAsia="Times New Roman" w:hAnsi="Times New Roman" w:cs="Times New Roman"/>
                <w:kern w:val="0"/>
                <w:sz w:val="24"/>
                <w:szCs w:val="24"/>
                <w:lang w:eastAsia="en-IE"/>
                <w14:ligatures w14:val="none"/>
              </w:rPr>
            </w:pPr>
            <w:r w:rsidRPr="00A54C3C">
              <w:rPr>
                <w:rFonts w:ascii="Times New Roman" w:eastAsia="Times New Roman" w:hAnsi="Times New Roman" w:cs="Times New Roman"/>
                <w:kern w:val="0"/>
                <w:sz w:val="24"/>
                <w:szCs w:val="24"/>
                <w:lang w:eastAsia="en-IE"/>
                <w14:ligatures w14:val="none"/>
              </w:rPr>
              <w:t xml:space="preserve">The Government </w:t>
            </w:r>
            <w:r>
              <w:rPr>
                <w:rFonts w:ascii="Times New Roman" w:eastAsia="Times New Roman" w:hAnsi="Times New Roman" w:cs="Times New Roman"/>
                <w:kern w:val="0"/>
                <w:sz w:val="24"/>
                <w:szCs w:val="24"/>
                <w:lang w:eastAsia="en-IE"/>
                <w14:ligatures w14:val="none"/>
              </w:rPr>
              <w:t>published</w:t>
            </w:r>
            <w:r w:rsidRPr="00A54C3C">
              <w:rPr>
                <w:rFonts w:ascii="Times New Roman" w:eastAsia="Times New Roman" w:hAnsi="Times New Roman" w:cs="Times New Roman"/>
                <w:kern w:val="0"/>
                <w:sz w:val="24"/>
                <w:szCs w:val="24"/>
                <w:lang w:eastAsia="en-IE"/>
                <w14:ligatures w14:val="none"/>
              </w:rPr>
              <w:t xml:space="preserve"> the second whole of government Circular Economy Strategy, which set</w:t>
            </w:r>
            <w:r>
              <w:rPr>
                <w:rFonts w:ascii="Times New Roman" w:eastAsia="Times New Roman" w:hAnsi="Times New Roman" w:cs="Times New Roman"/>
                <w:kern w:val="0"/>
                <w:sz w:val="24"/>
                <w:szCs w:val="24"/>
                <w:lang w:eastAsia="en-IE"/>
                <w14:ligatures w14:val="none"/>
              </w:rPr>
              <w:t>s</w:t>
            </w:r>
            <w:r w:rsidRPr="00A54C3C">
              <w:rPr>
                <w:rFonts w:ascii="Times New Roman" w:eastAsia="Times New Roman" w:hAnsi="Times New Roman" w:cs="Times New Roman"/>
                <w:kern w:val="0"/>
                <w:sz w:val="24"/>
                <w:szCs w:val="24"/>
                <w:lang w:eastAsia="en-IE"/>
                <w14:ligatures w14:val="none"/>
              </w:rPr>
              <w:t xml:space="preserve"> sectoral targets and actions across key areas to reduce resource use and increase reuse, repair and high-quality recycling. This builds on measures already delivered, such as the Deposit Return Scheme</w:t>
            </w:r>
            <w:r>
              <w:rPr>
                <w:rFonts w:ascii="Times New Roman" w:eastAsia="Times New Roman" w:hAnsi="Times New Roman" w:cs="Times New Roman"/>
                <w:kern w:val="0"/>
                <w:sz w:val="24"/>
                <w:szCs w:val="24"/>
                <w:lang w:eastAsia="en-IE"/>
                <w14:ligatures w14:val="none"/>
              </w:rPr>
              <w:t>.</w:t>
            </w:r>
          </w:p>
          <w:p w14:paraId="3D2969D6" w14:textId="77777777" w:rsidR="00A54C3C" w:rsidRDefault="00A54C3C" w:rsidP="00690AF2">
            <w:pPr>
              <w:spacing w:after="0" w:line="240" w:lineRule="auto"/>
              <w:rPr>
                <w:rFonts w:ascii="Times New Roman" w:eastAsia="Times New Roman" w:hAnsi="Times New Roman" w:cs="Times New Roman"/>
                <w:kern w:val="0"/>
                <w:sz w:val="24"/>
                <w:szCs w:val="24"/>
                <w:lang w:eastAsia="en-IE"/>
                <w14:ligatures w14:val="none"/>
              </w:rPr>
            </w:pPr>
          </w:p>
          <w:p w14:paraId="1A872BBE" w14:textId="61652589" w:rsidR="00690AF2" w:rsidRPr="002432CE" w:rsidRDefault="00A54C3C" w:rsidP="00690AF2">
            <w:pPr>
              <w:spacing w:after="0" w:line="240" w:lineRule="auto"/>
              <w:rPr>
                <w:rFonts w:ascii="Times New Roman" w:eastAsia="Times New Roman" w:hAnsi="Times New Roman" w:cs="Times New Roman"/>
                <w:kern w:val="0"/>
                <w:sz w:val="24"/>
                <w:szCs w:val="24"/>
                <w:lang w:eastAsia="en-IE"/>
                <w14:ligatures w14:val="none"/>
              </w:rPr>
            </w:pPr>
            <w:r>
              <w:rPr>
                <w:rFonts w:ascii="Times New Roman" w:eastAsia="Times New Roman" w:hAnsi="Times New Roman" w:cs="Times New Roman"/>
                <w:kern w:val="0"/>
                <w:sz w:val="24"/>
                <w:szCs w:val="24"/>
                <w:lang w:eastAsia="en-IE"/>
                <w14:ligatures w14:val="none"/>
              </w:rPr>
              <w:t>The Department</w:t>
            </w:r>
            <w:r w:rsidR="00690AF2" w:rsidRPr="002432CE">
              <w:rPr>
                <w:rFonts w:ascii="Times New Roman" w:eastAsia="Times New Roman" w:hAnsi="Times New Roman" w:cs="Times New Roman"/>
                <w:kern w:val="0"/>
                <w:sz w:val="24"/>
                <w:szCs w:val="24"/>
                <w:lang w:eastAsia="en-IE"/>
                <w14:ligatures w14:val="none"/>
              </w:rPr>
              <w:t xml:space="preserve"> also provides for a range of supports for circular enterprises including increasing the annual allocation to the Circular Economy Innovation Grants Scheme from €650,000 to €1.5M as well as the introduction of a repair voucher scheme and the establishment of a Centre of Excellence for the circular economy to support industry in the transition.  </w:t>
            </w:r>
          </w:p>
          <w:p w14:paraId="4C3FDF5B"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p w14:paraId="3F9A2905"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The Waste Action Plan for the Circular Economy (WAPCE) will be updated in 2026 to ensure that it aligns with and drives the implementation of the new strategy. The updated WAPCE will also reflect the commitments given in the Programme for Government and will inform and give direction to waste planning and management in Ireland, the delivery of appropriate infrastructure, and how we can enhance our </w:t>
            </w:r>
            <w:r w:rsidRPr="002432CE">
              <w:rPr>
                <w:rFonts w:ascii="Times New Roman" w:eastAsia="Times New Roman" w:hAnsi="Times New Roman" w:cs="Times New Roman"/>
                <w:kern w:val="0"/>
                <w:sz w:val="24"/>
                <w:szCs w:val="24"/>
                <w:lang w:eastAsia="en-IE"/>
                <w14:ligatures w14:val="none"/>
              </w:rPr>
              <w:lastRenderedPageBreak/>
              <w:t>capacity to transform waste into secondary materials and create a culture of circular behaviour.</w:t>
            </w:r>
          </w:p>
          <w:p w14:paraId="5B7963EB" w14:textId="4EA5DDEE"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7DC1DC55" w14:textId="2B99EA2D" w:rsidTr="00B673B9">
        <w:trPr>
          <w:trHeight w:val="289"/>
        </w:trPr>
        <w:tc>
          <w:tcPr>
            <w:tcW w:w="1843" w:type="dxa"/>
            <w:gridSpan w:val="2"/>
            <w:vMerge/>
            <w:hideMark/>
          </w:tcPr>
          <w:p w14:paraId="3C2065F8" w14:textId="77777777" w:rsidR="00690AF2" w:rsidRPr="00E25D07" w:rsidRDefault="00690AF2" w:rsidP="00690AF2">
            <w:pPr>
              <w:spacing w:after="0" w:line="240" w:lineRule="auto"/>
              <w:jc w:val="center"/>
              <w:rPr>
                <w:rFonts w:ascii="Times New Roman" w:eastAsia="Times New Roman" w:hAnsi="Times New Roman" w:cs="Times New Roman"/>
                <w:i/>
                <w:iCs/>
                <w:kern w:val="0"/>
                <w:sz w:val="24"/>
                <w:szCs w:val="24"/>
                <w:lang w:eastAsia="en-IE"/>
                <w14:ligatures w14:val="none"/>
              </w:rPr>
            </w:pPr>
          </w:p>
        </w:tc>
        <w:tc>
          <w:tcPr>
            <w:tcW w:w="2267" w:type="dxa"/>
            <w:noWrap/>
            <w:vAlign w:val="center"/>
            <w:hideMark/>
          </w:tcPr>
          <w:p w14:paraId="634F8C2F"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Set Waste Reduction Targets in appropriate sectors of our economy, encouraging sustainable practices. </w:t>
            </w:r>
          </w:p>
        </w:tc>
        <w:tc>
          <w:tcPr>
            <w:tcW w:w="6237" w:type="dxa"/>
            <w:vMerge/>
            <w:vAlign w:val="center"/>
          </w:tcPr>
          <w:p w14:paraId="4AB98967"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3C54DCCA" w14:textId="4AD91214" w:rsidTr="00B673B9">
        <w:trPr>
          <w:trHeight w:val="289"/>
        </w:trPr>
        <w:tc>
          <w:tcPr>
            <w:tcW w:w="1843" w:type="dxa"/>
            <w:gridSpan w:val="2"/>
            <w:vMerge/>
            <w:hideMark/>
          </w:tcPr>
          <w:p w14:paraId="112EB359" w14:textId="77777777" w:rsidR="00690AF2" w:rsidRPr="00E25D07" w:rsidRDefault="00690AF2" w:rsidP="00690AF2">
            <w:pPr>
              <w:spacing w:after="0" w:line="240" w:lineRule="auto"/>
              <w:jc w:val="center"/>
              <w:rPr>
                <w:rFonts w:ascii="Times New Roman" w:eastAsia="Times New Roman" w:hAnsi="Times New Roman" w:cs="Times New Roman"/>
                <w:i/>
                <w:iCs/>
                <w:kern w:val="0"/>
                <w:sz w:val="24"/>
                <w:szCs w:val="24"/>
                <w:lang w:eastAsia="en-IE"/>
                <w14:ligatures w14:val="none"/>
              </w:rPr>
            </w:pPr>
          </w:p>
        </w:tc>
        <w:tc>
          <w:tcPr>
            <w:tcW w:w="2267" w:type="dxa"/>
            <w:noWrap/>
            <w:vAlign w:val="center"/>
            <w:hideMark/>
          </w:tcPr>
          <w:p w14:paraId="59A57A62"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Support development of waste management infrastructure. Assess the need for a new waste to energy facility and maintain a renewed focus on zero waste infrastructure</w:t>
            </w:r>
          </w:p>
        </w:tc>
        <w:tc>
          <w:tcPr>
            <w:tcW w:w="6237" w:type="dxa"/>
            <w:vMerge/>
            <w:vAlign w:val="center"/>
          </w:tcPr>
          <w:p w14:paraId="0497650F"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286426B9" w14:textId="7B906865" w:rsidTr="00B673B9">
        <w:trPr>
          <w:trHeight w:val="300"/>
        </w:trPr>
        <w:tc>
          <w:tcPr>
            <w:tcW w:w="1843" w:type="dxa"/>
            <w:gridSpan w:val="2"/>
            <w:vMerge/>
            <w:hideMark/>
          </w:tcPr>
          <w:p w14:paraId="7810CCEE" w14:textId="77777777" w:rsidR="00690AF2" w:rsidRPr="00E25D07" w:rsidRDefault="00690AF2" w:rsidP="00690AF2">
            <w:pPr>
              <w:spacing w:after="0" w:line="240" w:lineRule="auto"/>
              <w:jc w:val="center"/>
              <w:rPr>
                <w:rFonts w:ascii="Times New Roman" w:eastAsia="Times New Roman" w:hAnsi="Times New Roman" w:cs="Times New Roman"/>
                <w:i/>
                <w:iCs/>
                <w:kern w:val="0"/>
                <w:sz w:val="24"/>
                <w:szCs w:val="24"/>
                <w:lang w:eastAsia="en-IE"/>
                <w14:ligatures w14:val="none"/>
              </w:rPr>
            </w:pPr>
          </w:p>
        </w:tc>
        <w:tc>
          <w:tcPr>
            <w:tcW w:w="2267" w:type="dxa"/>
            <w:noWrap/>
            <w:vAlign w:val="center"/>
          </w:tcPr>
          <w:p w14:paraId="1538355E" w14:textId="6869CE1D"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Modernise and consolidate legislation pertaining to inland fisheries. </w:t>
            </w:r>
          </w:p>
        </w:tc>
        <w:tc>
          <w:tcPr>
            <w:tcW w:w="6237" w:type="dxa"/>
            <w:vAlign w:val="center"/>
          </w:tcPr>
          <w:p w14:paraId="4A38AEEB"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The Department has been working with Inland Fisheries Ireland to review existing legislation and develop legislative proposals to modernise the regulatory framework, provide stronger enforcement tools and address pressures such as climate change, water quality and habitat degradation. </w:t>
            </w:r>
          </w:p>
          <w:p w14:paraId="6E01F455" w14:textId="06A8E898"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bl>
    <w:p w14:paraId="0A933A9F" w14:textId="0B9361A3" w:rsidR="00E8294E" w:rsidRPr="00A54C3C" w:rsidRDefault="00E8294E" w:rsidP="00E8294E">
      <w:pPr>
        <w:spacing w:line="360" w:lineRule="auto"/>
        <w:rPr>
          <w:rFonts w:ascii="Times New Roman" w:hAnsi="Times New Roman" w:cs="Times New Roman"/>
          <w:sz w:val="30"/>
          <w:szCs w:val="30"/>
        </w:rPr>
      </w:pPr>
    </w:p>
    <w:p w14:paraId="4F99A014" w14:textId="3EF9D8B2" w:rsidR="00A54C3C" w:rsidRPr="00A54C3C" w:rsidRDefault="00A54C3C" w:rsidP="00A54C3C">
      <w:pPr>
        <w:spacing w:line="360" w:lineRule="auto"/>
        <w:ind w:left="567"/>
        <w:rPr>
          <w:rFonts w:ascii="Times New Roman" w:hAnsi="Times New Roman" w:cs="Times New Roman"/>
          <w:sz w:val="30"/>
          <w:szCs w:val="30"/>
        </w:rPr>
      </w:pPr>
    </w:p>
    <w:sectPr w:rsidR="00A54C3C" w:rsidRPr="00A54C3C" w:rsidSect="00B673B9">
      <w:pgSz w:w="11906" w:h="16838" w:code="9"/>
      <w:pgMar w:top="1440" w:right="1440" w:bottom="1440"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8E775" w14:textId="77777777" w:rsidR="00897AF3" w:rsidRDefault="00897AF3" w:rsidP="008D66D1">
      <w:pPr>
        <w:spacing w:after="0" w:line="240" w:lineRule="auto"/>
      </w:pPr>
      <w:r>
        <w:separator/>
      </w:r>
    </w:p>
  </w:endnote>
  <w:endnote w:type="continuationSeparator" w:id="0">
    <w:p w14:paraId="482C665A" w14:textId="77777777" w:rsidR="00897AF3" w:rsidRDefault="00897AF3" w:rsidP="008D6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80673" w14:textId="77777777" w:rsidR="00897AF3" w:rsidRDefault="00897AF3" w:rsidP="008D66D1">
      <w:pPr>
        <w:spacing w:after="0" w:line="240" w:lineRule="auto"/>
      </w:pPr>
      <w:r>
        <w:separator/>
      </w:r>
    </w:p>
  </w:footnote>
  <w:footnote w:type="continuationSeparator" w:id="0">
    <w:p w14:paraId="42F80CE8" w14:textId="77777777" w:rsidR="00897AF3" w:rsidRDefault="00897AF3" w:rsidP="008D66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6593"/>
    <w:multiLevelType w:val="hybridMultilevel"/>
    <w:tmpl w:val="7F345D5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 w15:restartNumberingAfterBreak="0">
    <w:nsid w:val="01AA7FB8"/>
    <w:multiLevelType w:val="hybridMultilevel"/>
    <w:tmpl w:val="E9BEDA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C2F0E3E"/>
    <w:multiLevelType w:val="hybridMultilevel"/>
    <w:tmpl w:val="60AE465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AE3202"/>
    <w:multiLevelType w:val="hybridMultilevel"/>
    <w:tmpl w:val="11BA4FA6"/>
    <w:lvl w:ilvl="0" w:tplc="FAD8E246">
      <w:numFmt w:val="bullet"/>
      <w:lvlText w:val="•"/>
      <w:lvlJc w:val="left"/>
      <w:pPr>
        <w:ind w:left="1080" w:hanging="72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0DB17AE8"/>
    <w:multiLevelType w:val="hybridMultilevel"/>
    <w:tmpl w:val="FC7CAE3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 w15:restartNumberingAfterBreak="0">
    <w:nsid w:val="1460662A"/>
    <w:multiLevelType w:val="hybridMultilevel"/>
    <w:tmpl w:val="C1C2C1F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6" w15:restartNumberingAfterBreak="0">
    <w:nsid w:val="1FAF2DC5"/>
    <w:multiLevelType w:val="hybridMultilevel"/>
    <w:tmpl w:val="189094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84B639B"/>
    <w:multiLevelType w:val="hybridMultilevel"/>
    <w:tmpl w:val="F83CC2D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8" w15:restartNumberingAfterBreak="0">
    <w:nsid w:val="3BDD5693"/>
    <w:multiLevelType w:val="hybridMultilevel"/>
    <w:tmpl w:val="400441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89622087">
    <w:abstractNumId w:val="3"/>
  </w:num>
  <w:num w:numId="2" w16cid:durableId="1217618208">
    <w:abstractNumId w:val="3"/>
  </w:num>
  <w:num w:numId="3" w16cid:durableId="653484749">
    <w:abstractNumId w:val="2"/>
  </w:num>
  <w:num w:numId="4" w16cid:durableId="1053967022">
    <w:abstractNumId w:val="4"/>
  </w:num>
  <w:num w:numId="5" w16cid:durableId="1197157468">
    <w:abstractNumId w:val="1"/>
  </w:num>
  <w:num w:numId="6" w16cid:durableId="475800181">
    <w:abstractNumId w:val="7"/>
  </w:num>
  <w:num w:numId="7" w16cid:durableId="1724211854">
    <w:abstractNumId w:val="6"/>
  </w:num>
  <w:num w:numId="8" w16cid:durableId="1243225717">
    <w:abstractNumId w:val="0"/>
  </w:num>
  <w:num w:numId="9" w16cid:durableId="1270117891">
    <w:abstractNumId w:val="5"/>
  </w:num>
  <w:num w:numId="10" w16cid:durableId="259026777">
    <w:abstractNumId w:val="0"/>
  </w:num>
  <w:num w:numId="11" w16cid:durableId="15327205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BFA"/>
    <w:rsid w:val="00017C85"/>
    <w:rsid w:val="00023723"/>
    <w:rsid w:val="00024CD4"/>
    <w:rsid w:val="000556C4"/>
    <w:rsid w:val="000651F6"/>
    <w:rsid w:val="0007008D"/>
    <w:rsid w:val="00075DEC"/>
    <w:rsid w:val="000838EF"/>
    <w:rsid w:val="00095245"/>
    <w:rsid w:val="000A313F"/>
    <w:rsid w:val="000A57C2"/>
    <w:rsid w:val="000A611F"/>
    <w:rsid w:val="000B25AA"/>
    <w:rsid w:val="000C3793"/>
    <w:rsid w:val="000C4475"/>
    <w:rsid w:val="000D7AD1"/>
    <w:rsid w:val="000E6157"/>
    <w:rsid w:val="00121FAE"/>
    <w:rsid w:val="00124F95"/>
    <w:rsid w:val="001365BD"/>
    <w:rsid w:val="001370EB"/>
    <w:rsid w:val="00150493"/>
    <w:rsid w:val="001544EF"/>
    <w:rsid w:val="00174CD0"/>
    <w:rsid w:val="00182542"/>
    <w:rsid w:val="001B2FB4"/>
    <w:rsid w:val="00221778"/>
    <w:rsid w:val="00222402"/>
    <w:rsid w:val="0022396E"/>
    <w:rsid w:val="00233E60"/>
    <w:rsid w:val="002432CE"/>
    <w:rsid w:val="0025329F"/>
    <w:rsid w:val="0027591E"/>
    <w:rsid w:val="002A685F"/>
    <w:rsid w:val="002D6936"/>
    <w:rsid w:val="00315D61"/>
    <w:rsid w:val="00322851"/>
    <w:rsid w:val="00330683"/>
    <w:rsid w:val="003338C8"/>
    <w:rsid w:val="00333B1F"/>
    <w:rsid w:val="003344B4"/>
    <w:rsid w:val="0033489A"/>
    <w:rsid w:val="00343617"/>
    <w:rsid w:val="0038335E"/>
    <w:rsid w:val="003972DB"/>
    <w:rsid w:val="003A78CF"/>
    <w:rsid w:val="003B09D8"/>
    <w:rsid w:val="003B41C9"/>
    <w:rsid w:val="003C33DD"/>
    <w:rsid w:val="00413B00"/>
    <w:rsid w:val="004177CE"/>
    <w:rsid w:val="0043794F"/>
    <w:rsid w:val="00463005"/>
    <w:rsid w:val="00477B4F"/>
    <w:rsid w:val="00491CB0"/>
    <w:rsid w:val="004A25FA"/>
    <w:rsid w:val="004A3D71"/>
    <w:rsid w:val="004A7FB8"/>
    <w:rsid w:val="004B69D3"/>
    <w:rsid w:val="004F0B36"/>
    <w:rsid w:val="004F797F"/>
    <w:rsid w:val="00502511"/>
    <w:rsid w:val="00535C12"/>
    <w:rsid w:val="00554CA7"/>
    <w:rsid w:val="005566B5"/>
    <w:rsid w:val="00592322"/>
    <w:rsid w:val="00594736"/>
    <w:rsid w:val="0059491F"/>
    <w:rsid w:val="00597B2D"/>
    <w:rsid w:val="005A06D3"/>
    <w:rsid w:val="005E52DF"/>
    <w:rsid w:val="0060197C"/>
    <w:rsid w:val="006069A6"/>
    <w:rsid w:val="00626A5B"/>
    <w:rsid w:val="00656CB6"/>
    <w:rsid w:val="00660039"/>
    <w:rsid w:val="00662340"/>
    <w:rsid w:val="006674B7"/>
    <w:rsid w:val="0067274B"/>
    <w:rsid w:val="00690AF2"/>
    <w:rsid w:val="00690CB4"/>
    <w:rsid w:val="006A4BE4"/>
    <w:rsid w:val="006A55C6"/>
    <w:rsid w:val="006B4008"/>
    <w:rsid w:val="006B60A9"/>
    <w:rsid w:val="006C63D8"/>
    <w:rsid w:val="006E0B1B"/>
    <w:rsid w:val="006E4E7E"/>
    <w:rsid w:val="006F13C1"/>
    <w:rsid w:val="006F1E5E"/>
    <w:rsid w:val="006F3C29"/>
    <w:rsid w:val="00745356"/>
    <w:rsid w:val="00760C47"/>
    <w:rsid w:val="00761A71"/>
    <w:rsid w:val="007630FB"/>
    <w:rsid w:val="007651B5"/>
    <w:rsid w:val="007740C3"/>
    <w:rsid w:val="007D7BFA"/>
    <w:rsid w:val="007F11FA"/>
    <w:rsid w:val="007F7903"/>
    <w:rsid w:val="0081423A"/>
    <w:rsid w:val="00827B40"/>
    <w:rsid w:val="00845AC0"/>
    <w:rsid w:val="00852E64"/>
    <w:rsid w:val="00854DB5"/>
    <w:rsid w:val="008662BF"/>
    <w:rsid w:val="00873061"/>
    <w:rsid w:val="00883C83"/>
    <w:rsid w:val="0088561A"/>
    <w:rsid w:val="00890D71"/>
    <w:rsid w:val="00894FCF"/>
    <w:rsid w:val="00897AF3"/>
    <w:rsid w:val="008A3813"/>
    <w:rsid w:val="008A3D31"/>
    <w:rsid w:val="008D66D1"/>
    <w:rsid w:val="008F659A"/>
    <w:rsid w:val="009021A8"/>
    <w:rsid w:val="009023CF"/>
    <w:rsid w:val="00913C00"/>
    <w:rsid w:val="00933B8F"/>
    <w:rsid w:val="009521F3"/>
    <w:rsid w:val="00974DE0"/>
    <w:rsid w:val="00990158"/>
    <w:rsid w:val="00993615"/>
    <w:rsid w:val="009A49C4"/>
    <w:rsid w:val="00A10C32"/>
    <w:rsid w:val="00A1481D"/>
    <w:rsid w:val="00A211AB"/>
    <w:rsid w:val="00A54C3C"/>
    <w:rsid w:val="00A6120A"/>
    <w:rsid w:val="00A8045D"/>
    <w:rsid w:val="00A87C2C"/>
    <w:rsid w:val="00A93A62"/>
    <w:rsid w:val="00A97FF0"/>
    <w:rsid w:val="00AB0F7E"/>
    <w:rsid w:val="00AB37A4"/>
    <w:rsid w:val="00AC2191"/>
    <w:rsid w:val="00AD2D7D"/>
    <w:rsid w:val="00AD65F2"/>
    <w:rsid w:val="00AE1F61"/>
    <w:rsid w:val="00AE29F8"/>
    <w:rsid w:val="00B00420"/>
    <w:rsid w:val="00B236C6"/>
    <w:rsid w:val="00B255FE"/>
    <w:rsid w:val="00B338C4"/>
    <w:rsid w:val="00B44D04"/>
    <w:rsid w:val="00B5121C"/>
    <w:rsid w:val="00B673B9"/>
    <w:rsid w:val="00B80941"/>
    <w:rsid w:val="00B825DD"/>
    <w:rsid w:val="00B877AC"/>
    <w:rsid w:val="00B93EE0"/>
    <w:rsid w:val="00B96A3D"/>
    <w:rsid w:val="00BA2D87"/>
    <w:rsid w:val="00BB1135"/>
    <w:rsid w:val="00BB22F1"/>
    <w:rsid w:val="00BB5D37"/>
    <w:rsid w:val="00BE0758"/>
    <w:rsid w:val="00C05306"/>
    <w:rsid w:val="00C11EB1"/>
    <w:rsid w:val="00C236A0"/>
    <w:rsid w:val="00C3479E"/>
    <w:rsid w:val="00C56A3B"/>
    <w:rsid w:val="00CA09C5"/>
    <w:rsid w:val="00CA65FF"/>
    <w:rsid w:val="00CB015F"/>
    <w:rsid w:val="00CB175C"/>
    <w:rsid w:val="00CC0937"/>
    <w:rsid w:val="00CF0407"/>
    <w:rsid w:val="00CF1BFD"/>
    <w:rsid w:val="00D11DBA"/>
    <w:rsid w:val="00D12476"/>
    <w:rsid w:val="00D21D69"/>
    <w:rsid w:val="00D4752E"/>
    <w:rsid w:val="00D522AF"/>
    <w:rsid w:val="00DC1099"/>
    <w:rsid w:val="00DC1D46"/>
    <w:rsid w:val="00DD7D17"/>
    <w:rsid w:val="00DF48C9"/>
    <w:rsid w:val="00E15E2A"/>
    <w:rsid w:val="00E2495B"/>
    <w:rsid w:val="00E24B0C"/>
    <w:rsid w:val="00E25D07"/>
    <w:rsid w:val="00E40D1F"/>
    <w:rsid w:val="00E80230"/>
    <w:rsid w:val="00E8294E"/>
    <w:rsid w:val="00EA22BB"/>
    <w:rsid w:val="00EB6BE5"/>
    <w:rsid w:val="00EB6D10"/>
    <w:rsid w:val="00ED18B9"/>
    <w:rsid w:val="00EE21C2"/>
    <w:rsid w:val="00EF7D2E"/>
    <w:rsid w:val="00F1119E"/>
    <w:rsid w:val="00F12160"/>
    <w:rsid w:val="00F12896"/>
    <w:rsid w:val="00F571D3"/>
    <w:rsid w:val="00F7149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35F46"/>
  <w15:chartTrackingRefBased/>
  <w15:docId w15:val="{DC6AB34F-0881-4378-9448-FEE658DC9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7B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7B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7B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7B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7B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7B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7B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7B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7B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7B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7B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7B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7B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7B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7B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7B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7B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7BFA"/>
    <w:rPr>
      <w:rFonts w:eastAsiaTheme="majorEastAsia" w:cstheme="majorBidi"/>
      <w:color w:val="272727" w:themeColor="text1" w:themeTint="D8"/>
    </w:rPr>
  </w:style>
  <w:style w:type="paragraph" w:styleId="Title">
    <w:name w:val="Title"/>
    <w:basedOn w:val="Normal"/>
    <w:next w:val="Normal"/>
    <w:link w:val="TitleChar"/>
    <w:uiPriority w:val="10"/>
    <w:qFormat/>
    <w:rsid w:val="007D7B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7B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7B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7B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7BFA"/>
    <w:pPr>
      <w:spacing w:before="160"/>
      <w:jc w:val="center"/>
    </w:pPr>
    <w:rPr>
      <w:i/>
      <w:iCs/>
      <w:color w:val="404040" w:themeColor="text1" w:themeTint="BF"/>
    </w:rPr>
  </w:style>
  <w:style w:type="character" w:customStyle="1" w:styleId="QuoteChar">
    <w:name w:val="Quote Char"/>
    <w:basedOn w:val="DefaultParagraphFont"/>
    <w:link w:val="Quote"/>
    <w:uiPriority w:val="29"/>
    <w:rsid w:val="007D7BFA"/>
    <w:rPr>
      <w:i/>
      <w:iCs/>
      <w:color w:val="404040" w:themeColor="text1" w:themeTint="BF"/>
    </w:rPr>
  </w:style>
  <w:style w:type="paragraph" w:styleId="ListParagraph">
    <w:name w:val="List Paragraph"/>
    <w:aliases w:val="1st elvel bullet green,1st level - Bullet List Paragraph,Lettre d'introduction,Paragrafo elenco,List Paragraph1,Medium Grid 1 - Accent 21,FooterText,Paragraphe de liste1,Heading 2_sj,Numbered Para 1,Dot pt,No Spacing1,Bullet 1,lp1,Graphic"/>
    <w:basedOn w:val="Normal"/>
    <w:link w:val="ListParagraphChar"/>
    <w:uiPriority w:val="34"/>
    <w:qFormat/>
    <w:rsid w:val="007D7BFA"/>
    <w:pPr>
      <w:ind w:left="720"/>
      <w:contextualSpacing/>
    </w:pPr>
  </w:style>
  <w:style w:type="character" w:styleId="IntenseEmphasis">
    <w:name w:val="Intense Emphasis"/>
    <w:basedOn w:val="DefaultParagraphFont"/>
    <w:uiPriority w:val="21"/>
    <w:qFormat/>
    <w:rsid w:val="007D7BFA"/>
    <w:rPr>
      <w:i/>
      <w:iCs/>
      <w:color w:val="0F4761" w:themeColor="accent1" w:themeShade="BF"/>
    </w:rPr>
  </w:style>
  <w:style w:type="paragraph" w:styleId="IntenseQuote">
    <w:name w:val="Intense Quote"/>
    <w:basedOn w:val="Normal"/>
    <w:next w:val="Normal"/>
    <w:link w:val="IntenseQuoteChar"/>
    <w:uiPriority w:val="30"/>
    <w:qFormat/>
    <w:rsid w:val="007D7B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7BFA"/>
    <w:rPr>
      <w:i/>
      <w:iCs/>
      <w:color w:val="0F4761" w:themeColor="accent1" w:themeShade="BF"/>
    </w:rPr>
  </w:style>
  <w:style w:type="character" w:styleId="IntenseReference">
    <w:name w:val="Intense Reference"/>
    <w:basedOn w:val="DefaultParagraphFont"/>
    <w:uiPriority w:val="32"/>
    <w:qFormat/>
    <w:rsid w:val="007D7BFA"/>
    <w:rPr>
      <w:b/>
      <w:bCs/>
      <w:smallCaps/>
      <w:color w:val="0F4761" w:themeColor="accent1" w:themeShade="BF"/>
      <w:spacing w:val="5"/>
    </w:rPr>
  </w:style>
  <w:style w:type="table" w:styleId="TableGrid">
    <w:name w:val="Table Grid"/>
    <w:basedOn w:val="TableNormal"/>
    <w:uiPriority w:val="39"/>
    <w:rsid w:val="007D7B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45AC0"/>
    <w:pPr>
      <w:spacing w:after="0" w:line="240" w:lineRule="auto"/>
    </w:pPr>
  </w:style>
  <w:style w:type="character" w:styleId="CommentReference">
    <w:name w:val="annotation reference"/>
    <w:basedOn w:val="DefaultParagraphFont"/>
    <w:uiPriority w:val="99"/>
    <w:semiHidden/>
    <w:unhideWhenUsed/>
    <w:rsid w:val="00845AC0"/>
    <w:rPr>
      <w:sz w:val="16"/>
      <w:szCs w:val="16"/>
    </w:rPr>
  </w:style>
  <w:style w:type="paragraph" w:styleId="CommentText">
    <w:name w:val="annotation text"/>
    <w:basedOn w:val="Normal"/>
    <w:link w:val="CommentTextChar"/>
    <w:uiPriority w:val="99"/>
    <w:unhideWhenUsed/>
    <w:rsid w:val="00845AC0"/>
    <w:pPr>
      <w:spacing w:line="240" w:lineRule="auto"/>
    </w:pPr>
    <w:rPr>
      <w:sz w:val="20"/>
      <w:szCs w:val="20"/>
    </w:rPr>
  </w:style>
  <w:style w:type="character" w:customStyle="1" w:styleId="CommentTextChar">
    <w:name w:val="Comment Text Char"/>
    <w:basedOn w:val="DefaultParagraphFont"/>
    <w:link w:val="CommentText"/>
    <w:uiPriority w:val="99"/>
    <w:rsid w:val="00845AC0"/>
    <w:rPr>
      <w:sz w:val="20"/>
      <w:szCs w:val="20"/>
    </w:rPr>
  </w:style>
  <w:style w:type="paragraph" w:styleId="CommentSubject">
    <w:name w:val="annotation subject"/>
    <w:basedOn w:val="CommentText"/>
    <w:next w:val="CommentText"/>
    <w:link w:val="CommentSubjectChar"/>
    <w:uiPriority w:val="99"/>
    <w:semiHidden/>
    <w:unhideWhenUsed/>
    <w:rsid w:val="00845AC0"/>
    <w:rPr>
      <w:b/>
      <w:bCs/>
    </w:rPr>
  </w:style>
  <w:style w:type="character" w:customStyle="1" w:styleId="CommentSubjectChar">
    <w:name w:val="Comment Subject Char"/>
    <w:basedOn w:val="CommentTextChar"/>
    <w:link w:val="CommentSubject"/>
    <w:uiPriority w:val="99"/>
    <w:semiHidden/>
    <w:rsid w:val="00845AC0"/>
    <w:rPr>
      <w:b/>
      <w:bCs/>
      <w:sz w:val="20"/>
      <w:szCs w:val="20"/>
    </w:rPr>
  </w:style>
  <w:style w:type="paragraph" w:styleId="Header">
    <w:name w:val="header"/>
    <w:basedOn w:val="Normal"/>
    <w:link w:val="HeaderChar"/>
    <w:uiPriority w:val="99"/>
    <w:unhideWhenUsed/>
    <w:rsid w:val="008D66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6D1"/>
  </w:style>
  <w:style w:type="paragraph" w:styleId="Footer">
    <w:name w:val="footer"/>
    <w:basedOn w:val="Normal"/>
    <w:link w:val="FooterChar"/>
    <w:uiPriority w:val="99"/>
    <w:unhideWhenUsed/>
    <w:rsid w:val="008D66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6D1"/>
  </w:style>
  <w:style w:type="paragraph" w:styleId="NormalWeb">
    <w:name w:val="Normal (Web)"/>
    <w:basedOn w:val="Normal"/>
    <w:uiPriority w:val="99"/>
    <w:unhideWhenUsed/>
    <w:rsid w:val="00974DE0"/>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styleId="Emphasis">
    <w:name w:val="Emphasis"/>
    <w:basedOn w:val="DefaultParagraphFont"/>
    <w:uiPriority w:val="20"/>
    <w:qFormat/>
    <w:rsid w:val="00974DE0"/>
    <w:rPr>
      <w:i/>
      <w:iCs/>
    </w:rPr>
  </w:style>
  <w:style w:type="character" w:customStyle="1" w:styleId="ListParagraphChar">
    <w:name w:val="List Paragraph Char"/>
    <w:aliases w:val="1st elvel bullet green Char,1st level - Bullet List Paragraph Char,Lettre d'introduction Char,Paragrafo elenco Char,List Paragraph1 Char,Medium Grid 1 - Accent 21 Char,FooterText Char,Paragraphe de liste1 Char,Heading 2_sj Char"/>
    <w:basedOn w:val="DefaultParagraphFont"/>
    <w:link w:val="ListParagraph"/>
    <w:uiPriority w:val="34"/>
    <w:qFormat/>
    <w:locked/>
    <w:rsid w:val="009A49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524710">
      <w:bodyDiv w:val="1"/>
      <w:marLeft w:val="0"/>
      <w:marRight w:val="0"/>
      <w:marTop w:val="0"/>
      <w:marBottom w:val="0"/>
      <w:divBdr>
        <w:top w:val="none" w:sz="0" w:space="0" w:color="auto"/>
        <w:left w:val="none" w:sz="0" w:space="0" w:color="auto"/>
        <w:bottom w:val="none" w:sz="0" w:space="0" w:color="auto"/>
        <w:right w:val="none" w:sz="0" w:space="0" w:color="auto"/>
      </w:divBdr>
    </w:div>
    <w:div w:id="1609317194">
      <w:bodyDiv w:val="1"/>
      <w:marLeft w:val="0"/>
      <w:marRight w:val="0"/>
      <w:marTop w:val="0"/>
      <w:marBottom w:val="0"/>
      <w:divBdr>
        <w:top w:val="none" w:sz="0" w:space="0" w:color="auto"/>
        <w:left w:val="none" w:sz="0" w:space="0" w:color="auto"/>
        <w:bottom w:val="none" w:sz="0" w:space="0" w:color="auto"/>
        <w:right w:val="none" w:sz="0" w:space="0" w:color="auto"/>
      </w:divBdr>
    </w:div>
    <w:div w:id="1831939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OCRLastProcessed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B568268B15B54DB0DEAEF4B53168A2" ma:contentTypeVersion="1" ma:contentTypeDescription="Create a new document." ma:contentTypeScope="" ma:versionID="2f538d3d9cf7b98b89710137dde6d9cd">
  <xsd:schema xmlns:xsd="http://www.w3.org/2001/XMLSchema" xmlns:xs="http://www.w3.org/2001/XMLSchema" xmlns:p="http://schemas.microsoft.com/office/2006/metadata/properties" xmlns:ns1="http://schemas.microsoft.com/sharepoint/v3" targetNamespace="http://schemas.microsoft.com/office/2006/metadata/properties" ma:root="true" ma:fieldsID="b57d6ad8ff3bae82b440ca7ed46b6796" ns1:_="">
    <xsd:import namespace="http://schemas.microsoft.com/sharepoint/v3"/>
    <xsd:element name="properties">
      <xsd:complexType>
        <xsd:sequence>
          <xsd:element name="documentManagement">
            <xsd:complexType>
              <xsd:all>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CRLastProcessed" ma:index="8" nillable="true" ma:displayName="OCR Last Processed" ma:format="DateTime" ma:hidden="true" ma:internalName="OCRLastProcess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DB25EC-3C60-440F-99A2-64B7D24B8825}">
  <ds:schemaRefs>
    <ds:schemaRef ds:uri="http://schemas.openxmlformats.org/officeDocument/2006/bibliography"/>
  </ds:schemaRefs>
</ds:datastoreItem>
</file>

<file path=customXml/itemProps2.xml><?xml version="1.0" encoding="utf-8"?>
<ds:datastoreItem xmlns:ds="http://schemas.openxmlformats.org/officeDocument/2006/customXml" ds:itemID="{6E49BF54-3730-407F-8805-652B6924E52D}">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83893299-7EF2-4A26-9C17-7CF4EF0567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083176-627D-41F5-AF7C-8A7FFFF651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2405</Words>
  <Characters>13712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Brendan Devlin (DCEE)</dc:creator>
  <cp:keywords/>
  <dc:description/>
  <cp:lastModifiedBy>Jane Hughes (DCEE)</cp:lastModifiedBy>
  <cp:revision>5</cp:revision>
  <dcterms:created xsi:type="dcterms:W3CDTF">2026-06-30T14:54:00Z</dcterms:created>
  <dcterms:modified xsi:type="dcterms:W3CDTF">2026-07-08T13:53:00Z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0x0101002FB568268B15B54DB0DEAEF4B53168A2</vt:lpwstr>
  </property>
</Properties>
</file>