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495E6" w14:textId="77777777" w:rsidR="00DC1D46" w:rsidRDefault="00DC1D46" w:rsidP="00491CB0">
      <w:pPr>
        <w:ind w:left="567"/>
        <w:rPr>
          <w:rFonts w:ascii="Times New Roman" w:hAnsi="Times New Roman" w:cs="Times New Roman"/>
          <w:b/>
          <w:bCs/>
          <w:sz w:val="30"/>
          <w:szCs w:val="30"/>
        </w:rPr>
      </w:pPr>
      <w:r w:rsidRPr="00DC1D46">
        <w:rPr>
          <w:rFonts w:ascii="Times New Roman" w:hAnsi="Times New Roman" w:cs="Times New Roman"/>
          <w:b/>
          <w:bCs/>
          <w:sz w:val="30"/>
          <w:szCs w:val="30"/>
        </w:rPr>
        <w:t>To ask the Minister for Climate; Energy and the Environment if he will provide a report on the progress made implementing the Programme for Government commitments within his remit and on the achievements since the formation of the Government; and if he will make a statement on the matter.</w:t>
      </w:r>
    </w:p>
    <w:p w14:paraId="3BC27D25" w14:textId="647FAF59"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 xml:space="preserve">- </w:t>
      </w:r>
      <w:r w:rsidR="00DC1D46" w:rsidRPr="00DC1D46">
        <w:rPr>
          <w:rFonts w:ascii="Times New Roman" w:hAnsi="Times New Roman" w:cs="Times New Roman"/>
          <w:b/>
          <w:bCs/>
          <w:sz w:val="30"/>
          <w:szCs w:val="30"/>
        </w:rPr>
        <w:t>Cormac Devlin</w:t>
      </w:r>
      <w:r w:rsidRPr="00491CB0">
        <w:rPr>
          <w:rFonts w:ascii="Times New Roman" w:hAnsi="Times New Roman" w:cs="Times New Roman"/>
          <w:b/>
          <w:bCs/>
          <w:sz w:val="30"/>
          <w:szCs w:val="30"/>
        </w:rPr>
        <w:t>.</w:t>
      </w:r>
    </w:p>
    <w:p w14:paraId="2F47CA29" w14:textId="169040A0"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 xml:space="preserve">* For Written answer on </w:t>
      </w:r>
      <w:r w:rsidR="00DC1D46">
        <w:rPr>
          <w:rFonts w:ascii="Times New Roman" w:hAnsi="Times New Roman" w:cs="Times New Roman"/>
          <w:b/>
          <w:bCs/>
          <w:sz w:val="30"/>
          <w:szCs w:val="30"/>
        </w:rPr>
        <w:t>28</w:t>
      </w:r>
      <w:r w:rsidRPr="00491CB0">
        <w:rPr>
          <w:rFonts w:ascii="Times New Roman" w:hAnsi="Times New Roman" w:cs="Times New Roman"/>
          <w:b/>
          <w:bCs/>
          <w:sz w:val="30"/>
          <w:szCs w:val="30"/>
        </w:rPr>
        <w:t>/</w:t>
      </w:r>
      <w:r w:rsidR="00DC1D46">
        <w:rPr>
          <w:rFonts w:ascii="Times New Roman" w:hAnsi="Times New Roman" w:cs="Times New Roman"/>
          <w:b/>
          <w:bCs/>
          <w:sz w:val="30"/>
          <w:szCs w:val="30"/>
        </w:rPr>
        <w:t>05</w:t>
      </w:r>
      <w:r w:rsidRPr="00491CB0">
        <w:rPr>
          <w:rFonts w:ascii="Times New Roman" w:hAnsi="Times New Roman" w:cs="Times New Roman"/>
          <w:b/>
          <w:bCs/>
          <w:sz w:val="30"/>
          <w:szCs w:val="30"/>
        </w:rPr>
        <w:t>/202</w:t>
      </w:r>
      <w:r w:rsidR="00DC1D46">
        <w:rPr>
          <w:rFonts w:ascii="Times New Roman" w:hAnsi="Times New Roman" w:cs="Times New Roman"/>
          <w:b/>
          <w:bCs/>
          <w:sz w:val="30"/>
          <w:szCs w:val="30"/>
        </w:rPr>
        <w:t>6</w:t>
      </w:r>
      <w:r w:rsidRPr="00491CB0">
        <w:rPr>
          <w:rFonts w:ascii="Times New Roman" w:hAnsi="Times New Roman" w:cs="Times New Roman"/>
          <w:b/>
          <w:bCs/>
          <w:sz w:val="30"/>
          <w:szCs w:val="30"/>
        </w:rPr>
        <w:br/>
      </w:r>
      <w:r w:rsidRPr="00491CB0">
        <w:rPr>
          <w:rFonts w:ascii="Times New Roman" w:hAnsi="Times New Roman" w:cs="Times New Roman"/>
          <w:b/>
          <w:bCs/>
          <w:sz w:val="30"/>
          <w:szCs w:val="30"/>
        </w:rPr>
        <w:br/>
        <w:t xml:space="preserve">Ref No: </w:t>
      </w:r>
      <w:r w:rsidR="00A54C3C" w:rsidRPr="00A54C3C">
        <w:rPr>
          <w:rFonts w:ascii="Times New Roman" w:hAnsi="Times New Roman" w:cs="Times New Roman"/>
          <w:b/>
          <w:bCs/>
          <w:sz w:val="30"/>
          <w:szCs w:val="30"/>
        </w:rPr>
        <w:t>41380/26</w:t>
      </w:r>
    </w:p>
    <w:p w14:paraId="702358F0" w14:textId="77777777" w:rsidR="00491CB0" w:rsidRPr="00491CB0" w:rsidRDefault="00491CB0" w:rsidP="00491CB0">
      <w:pPr>
        <w:ind w:left="567"/>
        <w:rPr>
          <w:rFonts w:ascii="Times New Roman" w:hAnsi="Times New Roman" w:cs="Times New Roman"/>
          <w:sz w:val="30"/>
          <w:szCs w:val="30"/>
          <w:u w:val="single"/>
        </w:rPr>
      </w:pPr>
      <w:r w:rsidRPr="00491CB0">
        <w:rPr>
          <w:rFonts w:ascii="Times New Roman" w:hAnsi="Times New Roman" w:cs="Times New Roman"/>
          <w:sz w:val="30"/>
          <w:szCs w:val="30"/>
          <w:u w:val="single"/>
        </w:rPr>
        <w:t>Reply</w:t>
      </w:r>
    </w:p>
    <w:p w14:paraId="1717EB6C" w14:textId="77777777"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Minister for Climate, Energy and the Environment (Darragh O'Brien)</w:t>
      </w:r>
    </w:p>
    <w:p w14:paraId="0BAF4802" w14:textId="2B3D5CD6" w:rsidR="00491CB0" w:rsidRPr="00491CB0" w:rsidRDefault="00491CB0" w:rsidP="00491CB0">
      <w:pPr>
        <w:spacing w:line="360" w:lineRule="auto"/>
        <w:ind w:left="567"/>
        <w:rPr>
          <w:rFonts w:ascii="Times New Roman" w:hAnsi="Times New Roman" w:cs="Times New Roman"/>
          <w:sz w:val="30"/>
          <w:szCs w:val="30"/>
        </w:rPr>
      </w:pPr>
    </w:p>
    <w:p w14:paraId="5E6A29ED" w14:textId="7244BDC4" w:rsidR="00491CB0" w:rsidRPr="00491CB0" w:rsidRDefault="00491CB0" w:rsidP="00491CB0">
      <w:pPr>
        <w:spacing w:line="360" w:lineRule="auto"/>
        <w:ind w:left="567"/>
        <w:rPr>
          <w:rFonts w:ascii="Times New Roman" w:hAnsi="Times New Roman" w:cs="Times New Roman"/>
          <w:sz w:val="30"/>
          <w:szCs w:val="30"/>
        </w:rPr>
      </w:pPr>
      <w:r w:rsidRPr="00491CB0">
        <w:rPr>
          <w:rFonts w:ascii="Times New Roman" w:hAnsi="Times New Roman" w:cs="Times New Roman"/>
          <w:sz w:val="30"/>
          <w:szCs w:val="30"/>
        </w:rPr>
        <w:t xml:space="preserve">The attached table sets out the progress made on </w:t>
      </w:r>
      <w:r w:rsidR="00E40D1F">
        <w:rPr>
          <w:rFonts w:ascii="Times New Roman" w:hAnsi="Times New Roman" w:cs="Times New Roman"/>
          <w:sz w:val="30"/>
          <w:szCs w:val="30"/>
        </w:rPr>
        <w:t xml:space="preserve">key </w:t>
      </w:r>
      <w:r w:rsidRPr="00491CB0">
        <w:rPr>
          <w:rFonts w:ascii="Times New Roman" w:hAnsi="Times New Roman" w:cs="Times New Roman"/>
          <w:sz w:val="30"/>
          <w:szCs w:val="30"/>
        </w:rPr>
        <w:t xml:space="preserve">Programme for Government (PfG) commitments under the remit of the Department of Climate, Energy and the Environment, </w:t>
      </w:r>
      <w:r w:rsidR="00DC1D46">
        <w:rPr>
          <w:rFonts w:ascii="Times New Roman" w:hAnsi="Times New Roman" w:cs="Times New Roman"/>
          <w:sz w:val="30"/>
          <w:szCs w:val="30"/>
        </w:rPr>
        <w:t>since the formation of the Government</w:t>
      </w:r>
      <w:r w:rsidRPr="00491CB0">
        <w:rPr>
          <w:rFonts w:ascii="Times New Roman" w:hAnsi="Times New Roman" w:cs="Times New Roman"/>
          <w:sz w:val="30"/>
          <w:szCs w:val="30"/>
        </w:rPr>
        <w:t xml:space="preserve">. The </w:t>
      </w:r>
      <w:r w:rsidR="00E40D1F">
        <w:rPr>
          <w:rFonts w:ascii="Times New Roman" w:hAnsi="Times New Roman" w:cs="Times New Roman"/>
          <w:sz w:val="30"/>
          <w:szCs w:val="30"/>
        </w:rPr>
        <w:t xml:space="preserve">key </w:t>
      </w:r>
      <w:r w:rsidRPr="00491CB0">
        <w:rPr>
          <w:rFonts w:ascii="Times New Roman" w:hAnsi="Times New Roman" w:cs="Times New Roman"/>
          <w:sz w:val="30"/>
          <w:szCs w:val="30"/>
        </w:rPr>
        <w:t xml:space="preserve">PfG commitments are grouped, as appropriate, to the relevant goals from the Department’s Statement of Strategy, Le Chéile 28, which was published in September 2025.  These strategic goals are strongly aligned to the </w:t>
      </w:r>
      <w:r w:rsidR="000B25AA">
        <w:rPr>
          <w:rFonts w:ascii="Times New Roman" w:hAnsi="Times New Roman" w:cs="Times New Roman"/>
          <w:sz w:val="30"/>
          <w:szCs w:val="30"/>
        </w:rPr>
        <w:t xml:space="preserve">key </w:t>
      </w:r>
      <w:r w:rsidRPr="00491CB0">
        <w:rPr>
          <w:rFonts w:ascii="Times New Roman" w:hAnsi="Times New Roman" w:cs="Times New Roman"/>
          <w:sz w:val="30"/>
          <w:szCs w:val="30"/>
        </w:rPr>
        <w:t xml:space="preserve">commitments in the Programme for Government 2025. </w:t>
      </w:r>
    </w:p>
    <w:p w14:paraId="29D74197" w14:textId="52310EC6" w:rsidR="00491CB0" w:rsidRPr="00491CB0" w:rsidRDefault="00491CB0" w:rsidP="00491CB0">
      <w:pPr>
        <w:spacing w:line="360" w:lineRule="auto"/>
        <w:ind w:left="567"/>
        <w:rPr>
          <w:rFonts w:ascii="Times New Roman" w:hAnsi="Times New Roman" w:cs="Times New Roman"/>
          <w:sz w:val="30"/>
          <w:szCs w:val="30"/>
        </w:rPr>
      </w:pPr>
      <w:r w:rsidRPr="00491CB0">
        <w:rPr>
          <w:rFonts w:ascii="Times New Roman" w:hAnsi="Times New Roman" w:cs="Times New Roman"/>
          <w:sz w:val="30"/>
          <w:szCs w:val="30"/>
        </w:rPr>
        <w:t xml:space="preserve">Significant progress has been made against </w:t>
      </w:r>
      <w:r w:rsidR="00E40D1F">
        <w:rPr>
          <w:rFonts w:ascii="Times New Roman" w:hAnsi="Times New Roman" w:cs="Times New Roman"/>
          <w:sz w:val="30"/>
          <w:szCs w:val="30"/>
        </w:rPr>
        <w:t>key</w:t>
      </w:r>
      <w:r w:rsidRPr="00491CB0">
        <w:rPr>
          <w:rFonts w:ascii="Times New Roman" w:hAnsi="Times New Roman" w:cs="Times New Roman"/>
          <w:sz w:val="30"/>
          <w:szCs w:val="30"/>
        </w:rPr>
        <w:t xml:space="preserve"> Programme for Government commitments under the remit of my Department, and the Department will continue our critical work to ensure the future successful delivery of commitments. The progress made by my Department in delivering on the Statement of Strategy, including the implementation of </w:t>
      </w:r>
      <w:r w:rsidR="00E40D1F">
        <w:rPr>
          <w:rFonts w:ascii="Times New Roman" w:hAnsi="Times New Roman" w:cs="Times New Roman"/>
          <w:sz w:val="30"/>
          <w:szCs w:val="30"/>
        </w:rPr>
        <w:t xml:space="preserve">key </w:t>
      </w:r>
      <w:r w:rsidRPr="00491CB0">
        <w:rPr>
          <w:rFonts w:ascii="Times New Roman" w:hAnsi="Times New Roman" w:cs="Times New Roman"/>
          <w:sz w:val="30"/>
          <w:szCs w:val="30"/>
        </w:rPr>
        <w:t>Programme for Government commitments, is captured in Annual Reports which are available on gov.ie. </w:t>
      </w:r>
    </w:p>
    <w:p w14:paraId="41FC0530" w14:textId="77777777" w:rsidR="00491CB0" w:rsidRPr="00491CB0" w:rsidRDefault="00491CB0" w:rsidP="00491CB0">
      <w:pPr>
        <w:spacing w:line="360" w:lineRule="auto"/>
      </w:pPr>
    </w:p>
    <w:tbl>
      <w:tblPr>
        <w:tblW w:w="10347" w:type="dxa"/>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33"/>
        <w:gridCol w:w="10"/>
        <w:gridCol w:w="2267"/>
        <w:gridCol w:w="6237"/>
      </w:tblGrid>
      <w:tr w:rsidR="002432CE" w:rsidRPr="00E25D07" w14:paraId="147C8D17" w14:textId="23C27485" w:rsidTr="00B673B9">
        <w:trPr>
          <w:trHeight w:val="1875"/>
        </w:trPr>
        <w:tc>
          <w:tcPr>
            <w:tcW w:w="1833" w:type="dxa"/>
            <w:tcBorders>
              <w:top w:val="nil"/>
            </w:tcBorders>
            <w:shd w:val="clear" w:color="000000" w:fill="004D42"/>
            <w:vAlign w:val="center"/>
          </w:tcPr>
          <w:p w14:paraId="73DAAF50" w14:textId="478B2E85" w:rsidR="002432CE" w:rsidRPr="00E25D07" w:rsidRDefault="002432CE" w:rsidP="008D66D1">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lastRenderedPageBreak/>
              <w:t>Strategic Goal</w:t>
            </w:r>
          </w:p>
        </w:tc>
        <w:tc>
          <w:tcPr>
            <w:tcW w:w="2277" w:type="dxa"/>
            <w:gridSpan w:val="2"/>
            <w:tcBorders>
              <w:top w:val="nil"/>
            </w:tcBorders>
            <w:shd w:val="clear" w:color="auto" w:fill="004D42"/>
            <w:vAlign w:val="center"/>
          </w:tcPr>
          <w:p w14:paraId="231558A9" w14:textId="5B19FE72" w:rsidR="002432CE" w:rsidRPr="00E25D07" w:rsidRDefault="002432CE" w:rsidP="008D66D1">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t>Programme for Government Commitments</w:t>
            </w:r>
          </w:p>
        </w:tc>
        <w:tc>
          <w:tcPr>
            <w:tcW w:w="6237" w:type="dxa"/>
            <w:tcBorders>
              <w:top w:val="nil"/>
            </w:tcBorders>
            <w:shd w:val="clear" w:color="auto" w:fill="004D42"/>
            <w:vAlign w:val="center"/>
          </w:tcPr>
          <w:p w14:paraId="75FCD2E7" w14:textId="2247BCE6" w:rsidR="002432CE" w:rsidRPr="00E25D07" w:rsidRDefault="002432CE" w:rsidP="007F7903">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t>Section Progress Update</w:t>
            </w:r>
          </w:p>
        </w:tc>
      </w:tr>
      <w:tr w:rsidR="00690AF2" w:rsidRPr="00E25D07" w14:paraId="077B1402" w14:textId="77777777" w:rsidTr="00690AF2">
        <w:trPr>
          <w:trHeight w:val="2028"/>
        </w:trPr>
        <w:tc>
          <w:tcPr>
            <w:tcW w:w="1833" w:type="dxa"/>
            <w:vMerge w:val="restart"/>
          </w:tcPr>
          <w:p w14:paraId="1373A2F2" w14:textId="7514111F"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kern w:val="0"/>
                <w:sz w:val="24"/>
                <w:szCs w:val="24"/>
                <w:lang w:eastAsia="en-IE"/>
                <w14:ligatures w14:val="none"/>
              </w:rPr>
              <w:t>"Advance our climate, energy and environment objectives through effective EU and international leadership, engagement and collaboration"​</w:t>
            </w:r>
          </w:p>
        </w:tc>
        <w:tc>
          <w:tcPr>
            <w:tcW w:w="2277" w:type="dxa"/>
            <w:gridSpan w:val="2"/>
            <w:vAlign w:val="center"/>
          </w:tcPr>
          <w:p w14:paraId="563ED882" w14:textId="71EEA1C2"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Fast-Track Offshore Wind Development by prioritising the publication of Designated Maritime Area Plans (DMAPs) </w:t>
            </w:r>
          </w:p>
        </w:tc>
        <w:tc>
          <w:tcPr>
            <w:tcW w:w="6237" w:type="dxa"/>
            <w:vAlign w:val="center"/>
          </w:tcPr>
          <w:p w14:paraId="4404CEB7" w14:textId="7D75FA51"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The National DMAP will be a spatial plan for offshore renewable energy delivered through the marine spatial planning process. The Plan will designate sites sufficient to deliver 20GW renewable energy by 2040. The development of the National DMAP is on track with work progressing in line with key miles milestones and timelines set out. Notably, the DMAP Proposal and Public Participation Statement have been prepared and published. Development of the decision support tool assisted by experts in the Marine Institute is ongoing and key interdepartmental consultation meetings are taking place.</w:t>
            </w:r>
          </w:p>
        </w:tc>
      </w:tr>
      <w:tr w:rsidR="00690AF2" w:rsidRPr="00E25D07" w14:paraId="52698DCA" w14:textId="77777777" w:rsidTr="00690AF2">
        <w:trPr>
          <w:trHeight w:val="2026"/>
        </w:trPr>
        <w:tc>
          <w:tcPr>
            <w:tcW w:w="1833" w:type="dxa"/>
            <w:vMerge/>
          </w:tcPr>
          <w:p w14:paraId="57B27FD5"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77" w:type="dxa"/>
            <w:gridSpan w:val="2"/>
            <w:vAlign w:val="center"/>
          </w:tcPr>
          <w:p w14:paraId="75DEFEEB" w14:textId="5F9B4274"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Set ambitious targets to reduce greenhouse gas emissions by 2040 and ensure we have the correct mix of incentives and regulations.</w:t>
            </w:r>
          </w:p>
        </w:tc>
        <w:tc>
          <w:tcPr>
            <w:tcW w:w="6237" w:type="dxa"/>
            <w:vMerge w:val="restart"/>
            <w:vAlign w:val="center"/>
          </w:tcPr>
          <w:p w14:paraId="182C7B36"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The Council of the EU agreed a general approach on an EU-wide 2040 greenhouse gas emissions reduction target, and as of 1 December 2025 will enter trilogue negotiations with the European Parliament. After these negotiations discussions on Member State level targets will commence.</w:t>
            </w:r>
          </w:p>
          <w:p w14:paraId="7D7F8421"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1FFCEB10" w14:textId="1B05C60A"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 xml:space="preserve">Ireland published a dedicated Climate Finance Roadmap in 2022 to guide the scaling up of climate finance following a pledge at COP26 in 2021 to provide at least €225 million per year by 2025 in international climate finance. This target is expected to </w:t>
            </w:r>
            <w:r w:rsidR="00491CB0">
              <w:rPr>
                <w:rFonts w:ascii="Times New Roman" w:eastAsia="Times New Roman" w:hAnsi="Times New Roman" w:cs="Times New Roman"/>
                <w:color w:val="000000"/>
                <w:kern w:val="0"/>
                <w:sz w:val="24"/>
                <w:szCs w:val="24"/>
                <w:lang w:eastAsia="en-IE"/>
                <w14:ligatures w14:val="none"/>
              </w:rPr>
              <w:t>b</w:t>
            </w:r>
            <w:r w:rsidRPr="00690AF2">
              <w:rPr>
                <w:rFonts w:ascii="Times New Roman" w:eastAsia="Times New Roman" w:hAnsi="Times New Roman" w:cs="Times New Roman"/>
                <w:color w:val="000000"/>
                <w:kern w:val="0"/>
                <w:sz w:val="24"/>
                <w:szCs w:val="24"/>
                <w:lang w:eastAsia="en-IE"/>
                <w14:ligatures w14:val="none"/>
              </w:rPr>
              <w:t xml:space="preserve">e met this year on schedule. </w:t>
            </w:r>
          </w:p>
          <w:p w14:paraId="44D28F11"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06E676D5" w14:textId="5CC7593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Ireland’s climate finance is provided by four government departments – Department of Foreign Affairs and Trade, Department of Finance, Department of Climate, Energy and the Environment and the Department of Agriculture, Food, and the Marine. In 2025, the Department of Climate, Energy and the Environment is expected to provide just above €24million of this climate finance.</w:t>
            </w:r>
          </w:p>
        </w:tc>
      </w:tr>
      <w:tr w:rsidR="00690AF2" w:rsidRPr="00E25D07" w14:paraId="448D7BE2" w14:textId="77777777" w:rsidTr="00690AF2">
        <w:trPr>
          <w:trHeight w:val="2026"/>
        </w:trPr>
        <w:tc>
          <w:tcPr>
            <w:tcW w:w="1833" w:type="dxa"/>
            <w:vMerge/>
          </w:tcPr>
          <w:p w14:paraId="36715201"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77" w:type="dxa"/>
            <w:gridSpan w:val="2"/>
            <w:vAlign w:val="center"/>
          </w:tcPr>
          <w:p w14:paraId="3463BF1D" w14:textId="17E30856"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Ensure there is continued support for climate finance delivered through Ireland’s Overseas Development Aid programme.</w:t>
            </w:r>
          </w:p>
        </w:tc>
        <w:tc>
          <w:tcPr>
            <w:tcW w:w="6237" w:type="dxa"/>
            <w:vMerge/>
            <w:vAlign w:val="center"/>
          </w:tcPr>
          <w:p w14:paraId="71A791B3"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6914D617" w14:textId="7F33D7C8" w:rsidTr="00B673B9">
        <w:trPr>
          <w:trHeight w:val="289"/>
        </w:trPr>
        <w:tc>
          <w:tcPr>
            <w:tcW w:w="1833" w:type="dxa"/>
            <w:vMerge w:val="restart"/>
            <w:hideMark/>
          </w:tcPr>
          <w:p w14:paraId="7701547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color w:val="000000"/>
                <w:kern w:val="0"/>
                <w:sz w:val="24"/>
                <w:szCs w:val="24"/>
                <w:lang w:eastAsia="en-IE"/>
                <w14:ligatures w14:val="none"/>
              </w:rPr>
              <w:t>"Accelerate climate action and prepare Ireland for the impacts of a changing climate"</w:t>
            </w:r>
          </w:p>
        </w:tc>
        <w:tc>
          <w:tcPr>
            <w:tcW w:w="2277" w:type="dxa"/>
            <w:gridSpan w:val="2"/>
            <w:vAlign w:val="center"/>
          </w:tcPr>
          <w:p w14:paraId="3D57B703" w14:textId="5CB486D0"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Deliver actions to achieve a 51% reduction in emissions from 2018 to 2030 and net-zero emissions no later than 2050.</w:t>
            </w:r>
          </w:p>
        </w:tc>
        <w:tc>
          <w:tcPr>
            <w:tcW w:w="6237" w:type="dxa"/>
            <w:vMerge w:val="restart"/>
            <w:vAlign w:val="center"/>
          </w:tcPr>
          <w:p w14:paraId="7307AA6D" w14:textId="503845E0"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The Department operates a delivery-focussed approach to climate governance and has revised how it can support the implementation of the measures and actions in the Climate Action Plans. As part of updated governance arrangements, the Minister has taken up the role of Chair of the Climate Action Delivery Board (CADB), providing direct oversight of this Board, which comprises the heads of the relevant Government Departments. The first meeting of the updated CADB is scheduled for December 2025.</w:t>
            </w:r>
          </w:p>
          <w:p w14:paraId="034CF596"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242452EA" w14:textId="4F5D981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 xml:space="preserve">To provide enhanced and co-ordinated oversight and strategic direction on the delivery of the Climate Action Plan, the Climate Action Programme Board (CAPPB) has also been </w:t>
            </w:r>
            <w:r w:rsidRPr="002432CE">
              <w:rPr>
                <w:rFonts w:ascii="Times New Roman" w:eastAsia="Times New Roman" w:hAnsi="Times New Roman" w:cs="Times New Roman"/>
                <w:color w:val="000000"/>
                <w:kern w:val="0"/>
                <w:sz w:val="24"/>
                <w:szCs w:val="24"/>
                <w:lang w:eastAsia="en-IE"/>
                <w14:ligatures w14:val="none"/>
              </w:rPr>
              <w:lastRenderedPageBreak/>
              <w:t>established. The Assistant Secretary level Programme Board brings together the chairs of the various climate delivery taskforces from across sectors to bring an overall cohesion and alignment to climate action. It has met three times this year and is focussed on the delivery of High Impact Climate Mitigation Actions.</w:t>
            </w:r>
          </w:p>
          <w:p w14:paraId="02EA1B35" w14:textId="08221961"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703B4ABD" w14:textId="6A2263FE" w:rsidTr="00B673B9">
        <w:trPr>
          <w:trHeight w:val="289"/>
        </w:trPr>
        <w:tc>
          <w:tcPr>
            <w:tcW w:w="1833" w:type="dxa"/>
            <w:vMerge/>
            <w:hideMark/>
          </w:tcPr>
          <w:p w14:paraId="5F660EB0"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vAlign w:val="center"/>
          </w:tcPr>
          <w:p w14:paraId="00484993" w14:textId="53E2B98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Strengthen the delivery structures to deliver the Climate Action Plan through the Climate Action Delivery Board.</w:t>
            </w:r>
          </w:p>
        </w:tc>
        <w:tc>
          <w:tcPr>
            <w:tcW w:w="6237" w:type="dxa"/>
            <w:vMerge/>
            <w:vAlign w:val="center"/>
          </w:tcPr>
          <w:p w14:paraId="4462F9C4"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0036CDCC" w14:textId="2414B3AA" w:rsidTr="00B673B9">
        <w:trPr>
          <w:trHeight w:val="300"/>
        </w:trPr>
        <w:tc>
          <w:tcPr>
            <w:tcW w:w="1833" w:type="dxa"/>
            <w:vMerge/>
            <w:hideMark/>
          </w:tcPr>
          <w:p w14:paraId="2DAF39A9"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vAlign w:val="center"/>
          </w:tcPr>
          <w:p w14:paraId="6414776F" w14:textId="4BE27B0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Enhance and improve the Governance Structures to deliver the Climate Action Plan and the underpinning legislation.  </w:t>
            </w:r>
          </w:p>
        </w:tc>
        <w:tc>
          <w:tcPr>
            <w:tcW w:w="6237" w:type="dxa"/>
            <w:vMerge/>
            <w:vAlign w:val="center"/>
          </w:tcPr>
          <w:p w14:paraId="493D43F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47F366D8" w14:textId="3E0C42E8" w:rsidTr="00B673B9">
        <w:trPr>
          <w:trHeight w:val="289"/>
        </w:trPr>
        <w:tc>
          <w:tcPr>
            <w:tcW w:w="1833" w:type="dxa"/>
            <w:vMerge/>
            <w:hideMark/>
          </w:tcPr>
          <w:p w14:paraId="0B8C8F3B"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tcBorders>
              <w:bottom w:val="single" w:sz="8" w:space="0" w:color="auto"/>
            </w:tcBorders>
            <w:vAlign w:val="center"/>
            <w:hideMark/>
          </w:tcPr>
          <w:p w14:paraId="2BE9EB44"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Complete the second phase of the Land Use Review, which aims to balance environmental, social and economic consideration. </w:t>
            </w:r>
          </w:p>
        </w:tc>
        <w:tc>
          <w:tcPr>
            <w:tcW w:w="6237" w:type="dxa"/>
            <w:vAlign w:val="center"/>
          </w:tcPr>
          <w:p w14:paraId="776F828A" w14:textId="43185A7E" w:rsidR="00DC1D46" w:rsidRPr="002432CE" w:rsidRDefault="00DC1D46" w:rsidP="00690AF2">
            <w:pPr>
              <w:pStyle w:val="NormalWeb"/>
              <w:spacing w:before="0" w:beforeAutospacing="0" w:after="240" w:afterAutospacing="0"/>
              <w:jc w:val="both"/>
              <w:rPr>
                <w:color w:val="000000"/>
              </w:rPr>
            </w:pPr>
            <w:r w:rsidRPr="00DC1D46">
              <w:rPr>
                <w:color w:val="000000"/>
              </w:rPr>
              <w:t>The Land Use Review Phase 2 was received by M/CEE, M/AFM and MoS/DHLGH for their consideration in May 2025. Following further discussion at broader Government level late last year, it was agreed that wider consideration of the final Report across Government is necessary. This process is currently advancing with a view to publication thereafter.</w:t>
            </w:r>
          </w:p>
        </w:tc>
      </w:tr>
      <w:tr w:rsidR="00690AF2" w:rsidRPr="00E25D07" w14:paraId="6DD83C9C" w14:textId="77777777" w:rsidTr="00B673B9">
        <w:trPr>
          <w:trHeight w:val="289"/>
        </w:trPr>
        <w:tc>
          <w:tcPr>
            <w:tcW w:w="1833" w:type="dxa"/>
            <w:vMerge/>
          </w:tcPr>
          <w:p w14:paraId="29F00F4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tcBorders>
              <w:bottom w:val="single" w:sz="4" w:space="0" w:color="auto"/>
            </w:tcBorders>
            <w:vAlign w:val="center"/>
          </w:tcPr>
          <w:p w14:paraId="71DD2F72" w14:textId="69F53BF8"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Continue efforts to raise air quality standards, especially in urban areas, ensuring healthier environments for all.</w:t>
            </w:r>
          </w:p>
        </w:tc>
        <w:tc>
          <w:tcPr>
            <w:tcW w:w="6237" w:type="dxa"/>
            <w:vAlign w:val="center"/>
          </w:tcPr>
          <w:p w14:paraId="4C2A9389" w14:textId="46518CD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Air Quality in Ireland Report 2024 from the Environmental Protection Agency (September 2025) noted that overall air quality is generally good and meets all EU legal requirements. The European Environment Agency’s Europe's environment 2025 (September 2025) noted in Ireland’s Country profile that Ireland’s air quality is among Europe’s best (it also noted that Ireland meets current EU air quality standards).</w:t>
            </w:r>
          </w:p>
          <w:p w14:paraId="5FD31640"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186ADEDD" w14:textId="2346C566"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Significant progress in improving Ireland’s air quality was also noted this year in the annual Clean Air Strategy Progress Report 2025 (July 2025), including reduced ammonia emissions on foot of improvements in agricultural practices and reduced sulphur dioxide emissions due to a greater use of renewables in energy generation and increased retrofitting and heat pump installation.</w:t>
            </w:r>
          </w:p>
          <w:p w14:paraId="6B5A88D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7FDC14E2" w14:textId="05704CCA"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Government published the Air Pollution (Amendment) Bill 2025 which seeks to strengthen the enforcement powers available to local authorities to ensure that they can regulate commercial operators more effectively and that only compliant solid fuel is available on the market. </w:t>
            </w:r>
          </w:p>
          <w:p w14:paraId="2FC6848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00613F78" w14:textId="571FD1AA" w:rsidTr="00B673B9">
        <w:trPr>
          <w:trHeight w:val="1689"/>
        </w:trPr>
        <w:tc>
          <w:tcPr>
            <w:tcW w:w="1843" w:type="dxa"/>
            <w:gridSpan w:val="2"/>
            <w:vMerge w:val="restart"/>
            <w:shd w:val="clear" w:color="000000" w:fill="FFFFFF"/>
            <w:hideMark/>
          </w:tcPr>
          <w:p w14:paraId="62732F5A" w14:textId="429CDEB2"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color w:val="000000"/>
                <w:kern w:val="0"/>
                <w:sz w:val="24"/>
                <w:szCs w:val="24"/>
                <w:lang w:eastAsia="en-IE"/>
                <w14:ligatures w14:val="none"/>
              </w:rPr>
              <w:t>"Transform Ireland's energy systems to be sustainable, affordable and secure"</w:t>
            </w:r>
          </w:p>
        </w:tc>
        <w:tc>
          <w:tcPr>
            <w:tcW w:w="2267" w:type="dxa"/>
            <w:tcBorders>
              <w:top w:val="single" w:sz="4" w:space="0" w:color="auto"/>
            </w:tcBorders>
            <w:vAlign w:val="center"/>
            <w:hideMark/>
          </w:tcPr>
          <w:p w14:paraId="43827F7A"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Deliver 9GW of onshore wind, 8GW solar and at least 5GW of offshore wind by 2030</w:t>
            </w:r>
          </w:p>
        </w:tc>
        <w:tc>
          <w:tcPr>
            <w:tcW w:w="6237" w:type="dxa"/>
            <w:vAlign w:val="center"/>
          </w:tcPr>
          <w:p w14:paraId="0CA7E792" w14:textId="22DF9576"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Ireland currently </w:t>
            </w:r>
            <w:r w:rsidR="00DC1D46">
              <w:rPr>
                <w:rFonts w:ascii="Times New Roman" w:eastAsia="Times New Roman" w:hAnsi="Times New Roman" w:cs="Times New Roman"/>
                <w:kern w:val="0"/>
                <w:sz w:val="24"/>
                <w:szCs w:val="24"/>
                <w:lang w:eastAsia="en-IE"/>
                <w14:ligatures w14:val="none"/>
              </w:rPr>
              <w:t>over 8</w:t>
            </w:r>
            <w:r w:rsidRPr="002432CE">
              <w:rPr>
                <w:rFonts w:ascii="Times New Roman" w:eastAsia="Times New Roman" w:hAnsi="Times New Roman" w:cs="Times New Roman"/>
                <w:kern w:val="0"/>
                <w:sz w:val="24"/>
                <w:szCs w:val="24"/>
                <w:lang w:eastAsia="en-IE"/>
                <w14:ligatures w14:val="none"/>
              </w:rPr>
              <w:t xml:space="preserve"> GW of renewable generation capacity. Onshore wind is the largest contributor to this, with 5.1 GW of wind generation capacity and 2.</w:t>
            </w:r>
            <w:r w:rsidR="00DC1D46">
              <w:rPr>
                <w:rFonts w:ascii="Times New Roman" w:eastAsia="Times New Roman" w:hAnsi="Times New Roman" w:cs="Times New Roman"/>
                <w:kern w:val="0"/>
                <w:sz w:val="24"/>
                <w:szCs w:val="24"/>
                <w:lang w:eastAsia="en-IE"/>
                <w14:ligatures w14:val="none"/>
              </w:rPr>
              <w:t>5</w:t>
            </w:r>
            <w:r w:rsidRPr="002432CE">
              <w:rPr>
                <w:rFonts w:ascii="Times New Roman" w:eastAsia="Times New Roman" w:hAnsi="Times New Roman" w:cs="Times New Roman"/>
                <w:kern w:val="0"/>
                <w:sz w:val="24"/>
                <w:szCs w:val="24"/>
                <w:lang w:eastAsia="en-IE"/>
                <w14:ligatures w14:val="none"/>
              </w:rPr>
              <w:t xml:space="preserve"> GW of solar PV installed, with hydro, biomass, and other small sources contributing the remainder. </w:t>
            </w:r>
          </w:p>
          <w:p w14:paraId="206B7494"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55640F81"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fifth RESS auction, RESS 5, was completed in September 2025 and saw over 1 GW of successful offers – enough to power over 350,000 homes. Work is already underway on preparing the next planned RESS auction, due for delivery in 2026, as part of the Government’s commitment to hold at least one RESS auction per year. </w:t>
            </w:r>
          </w:p>
          <w:p w14:paraId="06B0637D"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69F93C2B" w14:textId="2044895F"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Following on from Ireland’s first offshore wind auction in 2023, five east coast projects accounting for 3,800 MW are in development.  A planning Determination from An Coimisiún Pleanála is anticipated by end 2026, with projects in construction by 2030 and operational by 2031/32. </w:t>
            </w:r>
            <w:r w:rsidR="00DC1D46">
              <w:rPr>
                <w:rFonts w:ascii="Times New Roman" w:eastAsia="Times New Roman" w:hAnsi="Times New Roman" w:cs="Times New Roman"/>
                <w:kern w:val="0"/>
                <w:sz w:val="24"/>
                <w:szCs w:val="24"/>
                <w:lang w:eastAsia="en-IE"/>
                <w14:ligatures w14:val="none"/>
              </w:rPr>
              <w:t>Results from our</w:t>
            </w:r>
            <w:r w:rsidRPr="002432CE">
              <w:rPr>
                <w:rFonts w:ascii="Times New Roman" w:eastAsia="Times New Roman" w:hAnsi="Times New Roman" w:cs="Times New Roman"/>
                <w:kern w:val="0"/>
                <w:sz w:val="24"/>
                <w:szCs w:val="24"/>
                <w:lang w:eastAsia="en-IE"/>
                <w14:ligatures w14:val="none"/>
              </w:rPr>
              <w:t xml:space="preserve"> second offshore wind auction </w:t>
            </w:r>
            <w:r w:rsidR="00DC1D46">
              <w:rPr>
                <w:rFonts w:ascii="Times New Roman" w:eastAsia="Times New Roman" w:hAnsi="Times New Roman" w:cs="Times New Roman"/>
                <w:kern w:val="0"/>
                <w:sz w:val="24"/>
                <w:szCs w:val="24"/>
                <w:lang w:eastAsia="en-IE"/>
                <w14:ligatures w14:val="none"/>
              </w:rPr>
              <w:t>were</w:t>
            </w:r>
            <w:r w:rsidRPr="002432CE">
              <w:rPr>
                <w:rFonts w:ascii="Times New Roman" w:eastAsia="Times New Roman" w:hAnsi="Times New Roman" w:cs="Times New Roman"/>
                <w:kern w:val="0"/>
                <w:sz w:val="24"/>
                <w:szCs w:val="24"/>
                <w:lang w:eastAsia="en-IE"/>
                <w14:ligatures w14:val="none"/>
              </w:rPr>
              <w:t xml:space="preserve"> announced with ESB and Orsted to be awarded the 900 MW contract.  Further auctions will happen in 2026/27 to award rights to the remaining three South Coast DMAP sites with 4,000 MW of capacity. Work on the National DMAP is underway and will designate a further ten to fifteen offshore wind sites by the end of 2027.</w:t>
            </w:r>
          </w:p>
          <w:p w14:paraId="353455FF" w14:textId="77777777" w:rsidR="00DC1D46" w:rsidRDefault="00DC1D46" w:rsidP="00690AF2">
            <w:pPr>
              <w:spacing w:after="0" w:line="240" w:lineRule="auto"/>
              <w:rPr>
                <w:rFonts w:ascii="Times New Roman" w:eastAsia="Times New Roman" w:hAnsi="Times New Roman" w:cs="Times New Roman"/>
                <w:kern w:val="0"/>
                <w:sz w:val="24"/>
                <w:szCs w:val="24"/>
                <w:lang w:eastAsia="en-IE"/>
                <w14:ligatures w14:val="none"/>
              </w:rPr>
            </w:pPr>
          </w:p>
          <w:p w14:paraId="20347FF3" w14:textId="691A68D3" w:rsidR="00690AF2" w:rsidRPr="002432CE" w:rsidRDefault="00DC1D46" w:rsidP="00690AF2">
            <w:pPr>
              <w:spacing w:after="0" w:line="240" w:lineRule="auto"/>
              <w:rPr>
                <w:rFonts w:ascii="Times New Roman" w:eastAsia="Times New Roman" w:hAnsi="Times New Roman" w:cs="Times New Roman"/>
                <w:kern w:val="0"/>
                <w:sz w:val="24"/>
                <w:szCs w:val="24"/>
                <w:lang w:eastAsia="en-IE"/>
                <w14:ligatures w14:val="none"/>
              </w:rPr>
            </w:pPr>
            <w:r w:rsidRPr="00DC1D46">
              <w:rPr>
                <w:rFonts w:ascii="Times New Roman" w:eastAsia="Times New Roman" w:hAnsi="Times New Roman" w:cs="Times New Roman"/>
                <w:kern w:val="0"/>
                <w:sz w:val="24"/>
                <w:szCs w:val="24"/>
                <w:lang w:eastAsia="en-IE"/>
                <w14:ligatures w14:val="none"/>
              </w:rPr>
              <w:t>The Accelerating Renewable Electricity Taskforce (ARET) ensures a cohesive approach to policymaking and to identify potential barriers and solutions to accelerating the delivery of onshore renewable generation capacity and related infrastructure.    </w:t>
            </w:r>
            <w:r w:rsidR="00690AF2" w:rsidRPr="002432CE">
              <w:rPr>
                <w:rFonts w:ascii="Times New Roman" w:eastAsia="Times New Roman" w:hAnsi="Times New Roman" w:cs="Times New Roman"/>
                <w:kern w:val="0"/>
                <w:sz w:val="24"/>
                <w:szCs w:val="24"/>
                <w:lang w:eastAsia="en-IE"/>
                <w14:ligatures w14:val="none"/>
              </w:rPr>
              <w:t xml:space="preserve">  </w:t>
            </w:r>
          </w:p>
          <w:p w14:paraId="7ABB5C2B" w14:textId="498C4C89"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E993B4C" w14:textId="00CBCFAB" w:rsidTr="00B673B9">
        <w:trPr>
          <w:trHeight w:val="981"/>
        </w:trPr>
        <w:tc>
          <w:tcPr>
            <w:tcW w:w="1843" w:type="dxa"/>
            <w:gridSpan w:val="2"/>
            <w:vMerge/>
            <w:shd w:val="clear" w:color="000000" w:fill="FFFFFF"/>
            <w:hideMark/>
          </w:tcPr>
          <w:p w14:paraId="2DCC9166"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483EDC60" w14:textId="1629550A"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Take all necessary action to ensure and protect Ireland’s energy security</w:t>
            </w:r>
          </w:p>
        </w:tc>
        <w:tc>
          <w:tcPr>
            <w:tcW w:w="6237" w:type="dxa"/>
            <w:vAlign w:val="center"/>
          </w:tcPr>
          <w:p w14:paraId="3B11C39C" w14:textId="6172EDE1" w:rsidR="00690AF2" w:rsidRPr="002432CE" w:rsidRDefault="00690AF2" w:rsidP="00690AF2">
            <w:pPr>
              <w:rPr>
                <w:rFonts w:ascii="Times New Roman" w:hAnsi="Times New Roman" w:cs="Times New Roman"/>
                <w:sz w:val="24"/>
                <w:szCs w:val="24"/>
              </w:rPr>
            </w:pPr>
            <w:r w:rsidRPr="002432CE">
              <w:rPr>
                <w:rFonts w:ascii="Times New Roman" w:hAnsi="Times New Roman" w:cs="Times New Roman"/>
                <w:sz w:val="24"/>
                <w:szCs w:val="24"/>
              </w:rPr>
              <w:t>A state-led strategic gas emergency reserve will provide the resilience required to support our energy transition. It is intended for use only in the event of a significant disruption to gas supplies to protect Ireland’s citizens, economy and reputation from the possibility of energy curtailments.</w:t>
            </w:r>
          </w:p>
          <w:p w14:paraId="25EA71EB" w14:textId="040DC533" w:rsidR="00690AF2" w:rsidRPr="002432CE" w:rsidRDefault="00690AF2" w:rsidP="00690AF2">
            <w:pPr>
              <w:rPr>
                <w:rFonts w:ascii="Times New Roman" w:hAnsi="Times New Roman" w:cs="Times New Roman"/>
                <w:sz w:val="24"/>
                <w:szCs w:val="24"/>
              </w:rPr>
            </w:pPr>
            <w:r w:rsidRPr="002432CE">
              <w:rPr>
                <w:rFonts w:ascii="Times New Roman" w:hAnsi="Times New Roman" w:cs="Times New Roman"/>
                <w:sz w:val="24"/>
                <w:szCs w:val="24"/>
              </w:rPr>
              <w:t>Gas Networks Ireland, on behalf of the State, are progressing the delivery of this project through the relevant procurement, planning, environmental and regulatory processes, with appropriate stakeholder engagement, to develop this strategic reserve and mitigate the risk to Ireland's society and economy of an interruption to gas supplies. </w:t>
            </w:r>
          </w:p>
        </w:tc>
      </w:tr>
      <w:tr w:rsidR="00690AF2" w:rsidRPr="00E25D07" w14:paraId="5060F398" w14:textId="43975C10" w:rsidTr="00B673B9">
        <w:trPr>
          <w:trHeight w:val="895"/>
        </w:trPr>
        <w:tc>
          <w:tcPr>
            <w:tcW w:w="1843" w:type="dxa"/>
            <w:gridSpan w:val="2"/>
            <w:vMerge/>
            <w:shd w:val="clear" w:color="000000" w:fill="FFFFFF"/>
            <w:hideMark/>
          </w:tcPr>
          <w:p w14:paraId="40080482"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6E80704C"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Expedite the publication of a Private Wires Policy Framework</w:t>
            </w:r>
          </w:p>
        </w:tc>
        <w:tc>
          <w:tcPr>
            <w:tcW w:w="6237" w:type="dxa"/>
            <w:vAlign w:val="center"/>
          </w:tcPr>
          <w:p w14:paraId="41200721" w14:textId="0B07D052" w:rsidR="00690AF2" w:rsidRPr="002432CE" w:rsidRDefault="00690AF2" w:rsidP="00690AF2">
            <w:pPr>
              <w:spacing w:after="0" w:line="240" w:lineRule="auto"/>
              <w:rPr>
                <w:rFonts w:ascii="Times New Roman" w:hAnsi="Times New Roman" w:cs="Times New Roman"/>
                <w:color w:val="0B0C0C"/>
                <w:sz w:val="24"/>
                <w:szCs w:val="24"/>
              </w:rPr>
            </w:pPr>
            <w:r w:rsidRPr="002432CE">
              <w:rPr>
                <w:rFonts w:ascii="Times New Roman" w:eastAsia="Times New Roman" w:hAnsi="Times New Roman" w:cs="Times New Roman"/>
                <w:kern w:val="0"/>
                <w:sz w:val="24"/>
                <w:szCs w:val="24"/>
                <w:lang w:eastAsia="en-IE"/>
                <w14:ligatures w14:val="none"/>
              </w:rPr>
              <w:t>In July 2025, the Government adopted a policy statement on Private Wires. This reformed policy will</w:t>
            </w:r>
            <w:r w:rsidRPr="002432CE">
              <w:rPr>
                <w:rFonts w:ascii="Times New Roman" w:hAnsi="Times New Roman" w:cs="Times New Roman"/>
                <w:color w:val="0B0C0C"/>
                <w:sz w:val="24"/>
                <w:szCs w:val="24"/>
              </w:rPr>
              <w:t xml:space="preserve"> unlock private sector investment in electricity infrastructure, particularly renewable generation and storage. It will also facilitate the provision of low-cost charging solutions for electric vehicles and expand opportunities for self-supply of electricity. </w:t>
            </w:r>
          </w:p>
          <w:p w14:paraId="1238D5AB" w14:textId="77777777" w:rsidR="00690AF2" w:rsidRPr="002432CE" w:rsidRDefault="00690AF2" w:rsidP="00690AF2">
            <w:pPr>
              <w:spacing w:after="0" w:line="240" w:lineRule="auto"/>
              <w:rPr>
                <w:rFonts w:ascii="Times New Roman" w:hAnsi="Times New Roman" w:cs="Times New Roman"/>
                <w:color w:val="0B0C0C"/>
                <w:sz w:val="24"/>
                <w:szCs w:val="24"/>
              </w:rPr>
            </w:pPr>
          </w:p>
          <w:p w14:paraId="2D7A5C8B" w14:textId="77777777" w:rsidR="00690AF2" w:rsidRPr="002432CE" w:rsidRDefault="00690AF2" w:rsidP="00690AF2">
            <w:pPr>
              <w:spacing w:after="0" w:line="240" w:lineRule="auto"/>
              <w:rPr>
                <w:rFonts w:ascii="Times New Roman" w:hAnsi="Times New Roman" w:cs="Times New Roman"/>
                <w:color w:val="0B0C0C"/>
                <w:sz w:val="24"/>
                <w:szCs w:val="24"/>
              </w:rPr>
            </w:pPr>
            <w:r w:rsidRPr="002432CE">
              <w:rPr>
                <w:rFonts w:ascii="Times New Roman" w:hAnsi="Times New Roman" w:cs="Times New Roman"/>
                <w:color w:val="0B0C0C"/>
                <w:sz w:val="24"/>
                <w:szCs w:val="24"/>
              </w:rPr>
              <w:t>DCEE is preparing a General Scheme of the primary legislation to implement this reform which is due to be presented to Government for approval by the end of this year.</w:t>
            </w:r>
          </w:p>
          <w:p w14:paraId="20B3A19D" w14:textId="04BE43B9" w:rsidR="00690AF2" w:rsidRPr="002432CE" w:rsidRDefault="00690AF2" w:rsidP="00690AF2">
            <w:pPr>
              <w:spacing w:after="0" w:line="240" w:lineRule="auto"/>
              <w:rPr>
                <w:rFonts w:ascii="Times New Roman" w:hAnsi="Times New Roman" w:cs="Times New Roman"/>
                <w:color w:val="0B0C0C"/>
                <w:sz w:val="24"/>
                <w:szCs w:val="24"/>
              </w:rPr>
            </w:pPr>
          </w:p>
        </w:tc>
      </w:tr>
      <w:tr w:rsidR="00690AF2" w:rsidRPr="00E25D07" w14:paraId="78DB2DA2" w14:textId="77777777" w:rsidTr="00B673B9">
        <w:trPr>
          <w:trHeight w:val="529"/>
        </w:trPr>
        <w:tc>
          <w:tcPr>
            <w:tcW w:w="1843" w:type="dxa"/>
            <w:gridSpan w:val="2"/>
            <w:vMerge/>
            <w:shd w:val="clear" w:color="000000" w:fill="FFFFFF"/>
          </w:tcPr>
          <w:p w14:paraId="7CAD7C32"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26827683" w14:textId="188ECDF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Develop and accelerate the roll-out of new electricity interconnectors to ensure Ireland is well positioned to be </w:t>
            </w:r>
            <w:r w:rsidRPr="002432CE">
              <w:rPr>
                <w:rFonts w:ascii="Times New Roman" w:eastAsia="Times New Roman" w:hAnsi="Times New Roman" w:cs="Times New Roman"/>
                <w:kern w:val="0"/>
                <w:sz w:val="24"/>
                <w:szCs w:val="24"/>
                <w:lang w:eastAsia="en-IE"/>
                <w14:ligatures w14:val="none"/>
              </w:rPr>
              <w:lastRenderedPageBreak/>
              <w:t>a net exporter of electricity to the UK and the EU.</w:t>
            </w:r>
          </w:p>
        </w:tc>
        <w:tc>
          <w:tcPr>
            <w:tcW w:w="6237" w:type="dxa"/>
            <w:vAlign w:val="center"/>
          </w:tcPr>
          <w:p w14:paraId="4E08E995" w14:textId="5C6467E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lastRenderedPageBreak/>
              <w:t xml:space="preserve">Ireland remains on course to deliver a five-fold increase in interconnection capacity over the course of a decade. The Greenlink Interconnector began commercial operations in January 2025. The Celtic Interconnector, reestablishing direct connectivity to the European market, will commence operations in 2028. The MaresConnect proposed </w:t>
            </w:r>
            <w:r w:rsidRPr="002432CE">
              <w:rPr>
                <w:rFonts w:ascii="Times New Roman" w:eastAsia="Times New Roman" w:hAnsi="Times New Roman" w:cs="Times New Roman"/>
                <w:kern w:val="0"/>
                <w:sz w:val="24"/>
                <w:szCs w:val="24"/>
                <w:lang w:eastAsia="en-IE"/>
                <w14:ligatures w14:val="none"/>
              </w:rPr>
              <w:lastRenderedPageBreak/>
              <w:t>interconnector with the UK is currently undergoing Initial Project Assessment by the CRU and aims to be operational in 2030.</w:t>
            </w:r>
          </w:p>
          <w:p w14:paraId="50E6E1E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589A2361" w14:textId="526D324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Ireland is collaborating regionally on energy infrastructure through the North Seas Energy Cooperation. The EU Commission intend to publish a revised framework for interconnectors as part of the European Grids Package in December 2025.  </w:t>
            </w:r>
          </w:p>
          <w:p w14:paraId="5DBEB965" w14:textId="610CD5D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11B0BB0C" w14:textId="264BC8AC" w:rsidTr="00B673B9">
        <w:trPr>
          <w:trHeight w:val="289"/>
        </w:trPr>
        <w:tc>
          <w:tcPr>
            <w:tcW w:w="1843" w:type="dxa"/>
            <w:gridSpan w:val="2"/>
            <w:vMerge/>
            <w:shd w:val="clear" w:color="000000" w:fill="FFFFFF"/>
            <w:hideMark/>
          </w:tcPr>
          <w:p w14:paraId="326DDBE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3814D15D" w14:textId="76D9C091"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Prioritise investment into our electricity grid to update our power generation systems to enhance security and affordability</w:t>
            </w:r>
          </w:p>
        </w:tc>
        <w:tc>
          <w:tcPr>
            <w:tcW w:w="6237" w:type="dxa"/>
            <w:vMerge w:val="restart"/>
            <w:vAlign w:val="center"/>
          </w:tcPr>
          <w:p w14:paraId="38E1A908" w14:textId="67735315" w:rsidR="00690AF2" w:rsidRPr="002432CE" w:rsidRDefault="00690AF2" w:rsidP="00690AF2">
            <w:pPr>
              <w:spacing w:after="0" w:line="240" w:lineRule="auto"/>
              <w:rPr>
                <w:rFonts w:ascii="Times New Roman" w:eastAsia="Times New Roman" w:hAnsi="Times New Roman" w:cs="Times New Roman"/>
                <w:sz w:val="24"/>
                <w:szCs w:val="24"/>
              </w:rPr>
            </w:pPr>
            <w:r w:rsidRPr="002432CE">
              <w:rPr>
                <w:rFonts w:ascii="Times New Roman" w:eastAsia="Times New Roman" w:hAnsi="Times New Roman" w:cs="Times New Roman"/>
                <w:color w:val="000000"/>
                <w:sz w:val="24"/>
                <w:szCs w:val="24"/>
              </w:rPr>
              <w:t xml:space="preserve">Government approval was received in July 2025 for €3.5bn investment in EirGrid and ESB to facilitate the investment programme of up to €18.1bn out to 2030 and connection of 5GW offshore wind. </w:t>
            </w:r>
          </w:p>
          <w:p w14:paraId="4F750A79" w14:textId="77777777" w:rsidR="00690AF2" w:rsidRPr="002432CE" w:rsidRDefault="00690AF2" w:rsidP="00690AF2">
            <w:pPr>
              <w:spacing w:after="0" w:line="240" w:lineRule="auto"/>
              <w:rPr>
                <w:rFonts w:ascii="Times New Roman" w:eastAsia="Times New Roman" w:hAnsi="Times New Roman" w:cs="Times New Roman"/>
                <w:color w:val="000000"/>
                <w:sz w:val="24"/>
                <w:szCs w:val="24"/>
              </w:rPr>
            </w:pPr>
          </w:p>
          <w:p w14:paraId="441E6DD9" w14:textId="2DF186E3" w:rsidR="00690AF2" w:rsidRPr="002432CE" w:rsidRDefault="00690AF2" w:rsidP="00690AF2">
            <w:pPr>
              <w:spacing w:after="0" w:line="240" w:lineRule="auto"/>
              <w:rPr>
                <w:rFonts w:ascii="Times New Roman" w:eastAsia="Times New Roman" w:hAnsi="Times New Roman" w:cs="Times New Roman"/>
                <w:sz w:val="24"/>
                <w:szCs w:val="24"/>
              </w:rPr>
            </w:pPr>
            <w:r w:rsidRPr="002432CE">
              <w:rPr>
                <w:rFonts w:ascii="Times New Roman" w:eastAsia="Times New Roman" w:hAnsi="Times New Roman" w:cs="Times New Roman"/>
                <w:color w:val="000000"/>
                <w:sz w:val="24"/>
                <w:szCs w:val="24"/>
              </w:rPr>
              <w:t>The Electricity (Supply)(Amendment) Act 2025 was enacted to facilitate the investment of €1.5bn in ESB by end of 2025 for onshore electricity network infrastructure.</w:t>
            </w:r>
          </w:p>
          <w:p w14:paraId="661F7AB3" w14:textId="77777777" w:rsidR="00690AF2" w:rsidRPr="002432CE" w:rsidRDefault="00690AF2" w:rsidP="00690AF2">
            <w:pPr>
              <w:spacing w:after="0" w:line="240" w:lineRule="auto"/>
              <w:rPr>
                <w:rFonts w:ascii="Times New Roman" w:eastAsia="Times New Roman" w:hAnsi="Times New Roman" w:cs="Times New Roman"/>
                <w:color w:val="000000"/>
                <w:sz w:val="24"/>
                <w:szCs w:val="24"/>
              </w:rPr>
            </w:pPr>
          </w:p>
          <w:p w14:paraId="6ACCD0CC" w14:textId="0D1F71B9" w:rsidR="00690AF2" w:rsidRPr="002432CE" w:rsidRDefault="00690AF2" w:rsidP="00690AF2">
            <w:pPr>
              <w:spacing w:after="0" w:line="240" w:lineRule="auto"/>
              <w:rPr>
                <w:rFonts w:ascii="Times New Roman" w:eastAsia="Times New Roman" w:hAnsi="Times New Roman" w:cs="Times New Roman"/>
                <w:color w:val="000000"/>
                <w:sz w:val="24"/>
                <w:szCs w:val="24"/>
              </w:rPr>
            </w:pPr>
            <w:r w:rsidRPr="002432CE">
              <w:rPr>
                <w:rFonts w:ascii="Times New Roman" w:eastAsia="Times New Roman" w:hAnsi="Times New Roman" w:cs="Times New Roman"/>
                <w:color w:val="000000"/>
                <w:sz w:val="24"/>
                <w:szCs w:val="24"/>
              </w:rPr>
              <w:t>Legislation to be introduced by</w:t>
            </w:r>
            <w:r w:rsidR="00DC1D46">
              <w:rPr>
                <w:rFonts w:ascii="Times New Roman" w:eastAsia="Times New Roman" w:hAnsi="Times New Roman" w:cs="Times New Roman"/>
                <w:color w:val="000000"/>
                <w:sz w:val="24"/>
                <w:szCs w:val="24"/>
              </w:rPr>
              <w:t xml:space="preserve"> </w:t>
            </w:r>
            <w:r w:rsidRPr="002432CE">
              <w:rPr>
                <w:rFonts w:ascii="Times New Roman" w:eastAsia="Times New Roman" w:hAnsi="Times New Roman" w:cs="Times New Roman"/>
                <w:color w:val="000000"/>
                <w:sz w:val="24"/>
                <w:szCs w:val="24"/>
              </w:rPr>
              <w:t xml:space="preserve">to facilitate the investment of €2bn in EirGrid for offshore electricity network infrastructure. </w:t>
            </w:r>
          </w:p>
          <w:p w14:paraId="445E30A5" w14:textId="10855521" w:rsidR="00690AF2" w:rsidRPr="002432CE" w:rsidRDefault="00690AF2" w:rsidP="00690AF2">
            <w:pPr>
              <w:spacing w:after="0" w:line="240" w:lineRule="auto"/>
              <w:rPr>
                <w:rFonts w:ascii="Times New Roman" w:eastAsia="Times New Roman" w:hAnsi="Times New Roman" w:cs="Times New Roman"/>
                <w:sz w:val="24"/>
                <w:szCs w:val="24"/>
              </w:rPr>
            </w:pPr>
          </w:p>
        </w:tc>
      </w:tr>
      <w:tr w:rsidR="00690AF2" w:rsidRPr="00E25D07" w14:paraId="56256A2B" w14:textId="6C7D12B0" w:rsidTr="00B673B9">
        <w:trPr>
          <w:trHeight w:val="289"/>
        </w:trPr>
        <w:tc>
          <w:tcPr>
            <w:tcW w:w="1843" w:type="dxa"/>
            <w:gridSpan w:val="2"/>
            <w:vMerge/>
            <w:shd w:val="clear" w:color="000000" w:fill="FFFFFF"/>
            <w:hideMark/>
          </w:tcPr>
          <w:p w14:paraId="4404822B"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05C448B1" w14:textId="1ABD664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Scale up investment in critical infrastructure and in our electricity grid</w:t>
            </w:r>
          </w:p>
        </w:tc>
        <w:tc>
          <w:tcPr>
            <w:tcW w:w="6237" w:type="dxa"/>
            <w:vMerge/>
            <w:vAlign w:val="center"/>
          </w:tcPr>
          <w:p w14:paraId="1542E79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29DBDB9" w14:textId="04B8DD5D" w:rsidTr="00B673B9">
        <w:trPr>
          <w:trHeight w:val="289"/>
        </w:trPr>
        <w:tc>
          <w:tcPr>
            <w:tcW w:w="1843" w:type="dxa"/>
            <w:gridSpan w:val="2"/>
            <w:vMerge/>
            <w:shd w:val="clear" w:color="000000" w:fill="FFFFFF"/>
            <w:hideMark/>
          </w:tcPr>
          <w:p w14:paraId="6D5C8CB0"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731C600D" w14:textId="19B3A12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Enact legislation in 2025 to accelerate the roll out of district heating systems</w:t>
            </w:r>
          </w:p>
        </w:tc>
        <w:tc>
          <w:tcPr>
            <w:tcW w:w="6237" w:type="dxa"/>
            <w:vAlign w:val="center"/>
          </w:tcPr>
          <w:p w14:paraId="4310E824" w14:textId="56D1EF07" w:rsidR="00690AF2" w:rsidRPr="002432CE" w:rsidRDefault="00690AF2" w:rsidP="00690AF2">
            <w:pPr>
              <w:rPr>
                <w:rFonts w:ascii="Times New Roman" w:hAnsi="Times New Roman" w:cs="Times New Roman"/>
                <w:color w:val="000000"/>
                <w:sz w:val="24"/>
                <w:szCs w:val="24"/>
              </w:rPr>
            </w:pPr>
            <w:r w:rsidRPr="002432CE">
              <w:rPr>
                <w:rFonts w:ascii="Times New Roman" w:hAnsi="Times New Roman" w:cs="Times New Roman"/>
                <w:color w:val="000000"/>
                <w:sz w:val="24"/>
                <w:szCs w:val="24"/>
              </w:rPr>
              <w:t>The Heat (</w:t>
            </w:r>
            <w:r w:rsidR="00491CB0">
              <w:rPr>
                <w:rFonts w:ascii="Times New Roman" w:hAnsi="Times New Roman" w:cs="Times New Roman"/>
                <w:color w:val="000000"/>
                <w:sz w:val="24"/>
                <w:szCs w:val="24"/>
              </w:rPr>
              <w:t>N</w:t>
            </w:r>
            <w:r w:rsidRPr="002432CE">
              <w:rPr>
                <w:rFonts w:ascii="Times New Roman" w:hAnsi="Times New Roman" w:cs="Times New Roman"/>
                <w:color w:val="000000"/>
                <w:sz w:val="24"/>
                <w:szCs w:val="24"/>
              </w:rPr>
              <w:t xml:space="preserve">etworks and </w:t>
            </w:r>
            <w:r w:rsidR="00491CB0">
              <w:rPr>
                <w:rFonts w:ascii="Times New Roman" w:hAnsi="Times New Roman" w:cs="Times New Roman"/>
                <w:color w:val="000000"/>
                <w:sz w:val="24"/>
                <w:szCs w:val="24"/>
              </w:rPr>
              <w:t>M</w:t>
            </w:r>
            <w:r w:rsidRPr="002432CE">
              <w:rPr>
                <w:rFonts w:ascii="Times New Roman" w:hAnsi="Times New Roman" w:cs="Times New Roman"/>
                <w:color w:val="000000"/>
                <w:sz w:val="24"/>
                <w:szCs w:val="24"/>
              </w:rPr>
              <w:t xml:space="preserve">iscellaneous </w:t>
            </w:r>
            <w:r w:rsidR="00491CB0">
              <w:rPr>
                <w:rFonts w:ascii="Times New Roman" w:hAnsi="Times New Roman" w:cs="Times New Roman"/>
                <w:color w:val="000000"/>
                <w:sz w:val="24"/>
                <w:szCs w:val="24"/>
              </w:rPr>
              <w:t>P</w:t>
            </w:r>
            <w:r w:rsidRPr="002432CE">
              <w:rPr>
                <w:rFonts w:ascii="Times New Roman" w:hAnsi="Times New Roman" w:cs="Times New Roman"/>
                <w:color w:val="000000"/>
                <w:sz w:val="24"/>
                <w:szCs w:val="24"/>
              </w:rPr>
              <w:t xml:space="preserve">rovision) Bill is currently undergoing initial drafting. </w:t>
            </w:r>
          </w:p>
        </w:tc>
      </w:tr>
      <w:tr w:rsidR="00690AF2" w:rsidRPr="00E25D07" w14:paraId="1B5CC7C3" w14:textId="7AA67F1F" w:rsidTr="00B673B9">
        <w:trPr>
          <w:trHeight w:val="289"/>
        </w:trPr>
        <w:tc>
          <w:tcPr>
            <w:tcW w:w="1843" w:type="dxa"/>
            <w:gridSpan w:val="2"/>
            <w:vMerge/>
            <w:shd w:val="clear" w:color="000000" w:fill="FFFFFF"/>
            <w:hideMark/>
          </w:tcPr>
          <w:p w14:paraId="1884245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2005D8D9" w14:textId="0518C98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Ramp up our targets to deliver more B2 equivalent home retrofits each year </w:t>
            </w:r>
          </w:p>
        </w:tc>
        <w:tc>
          <w:tcPr>
            <w:tcW w:w="6237" w:type="dxa"/>
            <w:vMerge w:val="restart"/>
            <w:vAlign w:val="center"/>
          </w:tcPr>
          <w:p w14:paraId="71703F77"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 xml:space="preserve">A National Residential Retrofit Plan is being implemented, supported by SEAI grants and low-cost finance. </w:t>
            </w:r>
          </w:p>
          <w:p w14:paraId="1A3634C5" w14:textId="45B43873"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In 2025, 58,128 home energy upgrades were completed (up 8% on 2024). This included 26,232 B2 upgrades completed (up 20% on 2024) and 8,139 fully funded energy upgrades under Warmer Homes Scheme (up 5% on 2024).</w:t>
            </w:r>
            <w:r>
              <w:rPr>
                <w:rFonts w:ascii="Times New Roman" w:eastAsia="Times New Roman" w:hAnsi="Times New Roman" w:cs="Times New Roman"/>
                <w:kern w:val="0"/>
                <w:sz w:val="24"/>
                <w:szCs w:val="24"/>
                <w:lang w:eastAsia="en-IE"/>
                <w14:ligatures w14:val="none"/>
              </w:rPr>
              <w:t xml:space="preserve"> </w:t>
            </w:r>
            <w:r w:rsidRPr="00A54C3C">
              <w:rPr>
                <w:rFonts w:ascii="Times New Roman" w:eastAsia="Times New Roman" w:hAnsi="Times New Roman" w:cs="Times New Roman"/>
                <w:kern w:val="0"/>
                <w:sz w:val="24"/>
                <w:szCs w:val="24"/>
                <w:lang w:eastAsia="en-IE"/>
                <w14:ligatures w14:val="none"/>
              </w:rPr>
              <w:t xml:space="preserve">54% of the total expenditure on residential and community retrofit under SEAI schemes in 2025 was on upgrades in households at risk of energy poverty. </w:t>
            </w:r>
          </w:p>
          <w:p w14:paraId="23AB56B6"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p>
          <w:p w14:paraId="15C2846E"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 xml:space="preserve">Data for the first quarter of this year shows a very positive upward trend – in both demand and output. In the first quarter of 2026, over 12,000 homes have been upgraded through SEAI schemes, including over 1,500 homes at risk of energy poverty under the Warmer Homes Scheme. </w:t>
            </w:r>
          </w:p>
          <w:p w14:paraId="7A20EBDA"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p>
          <w:p w14:paraId="6067C47E" w14:textId="625F392A" w:rsidR="00690AF2" w:rsidRPr="002432CE"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Applications to SEAI so far in 2026 (year-on-year) have doubled. Over 40,000 applications were processed between January and the end of April. Since the formation of this Government, over 70,000 homes have been upgraded, including over 9,600 under the Warmer Homes scheme.</w:t>
            </w:r>
          </w:p>
        </w:tc>
      </w:tr>
      <w:tr w:rsidR="00690AF2" w:rsidRPr="00E25D07" w14:paraId="75F75AB0" w14:textId="07E9F5E9" w:rsidTr="00B673B9">
        <w:trPr>
          <w:trHeight w:val="289"/>
        </w:trPr>
        <w:tc>
          <w:tcPr>
            <w:tcW w:w="1843" w:type="dxa"/>
            <w:gridSpan w:val="2"/>
            <w:vMerge/>
            <w:shd w:val="clear" w:color="000000" w:fill="FFFFFF"/>
            <w:hideMark/>
          </w:tcPr>
          <w:p w14:paraId="51684FE4"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5625749C" w14:textId="22F8C386"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Revise and improve the provision of grants and financing models for homeowners who wish to retrofit</w:t>
            </w:r>
          </w:p>
        </w:tc>
        <w:tc>
          <w:tcPr>
            <w:tcW w:w="6237" w:type="dxa"/>
            <w:vMerge/>
            <w:vAlign w:val="center"/>
          </w:tcPr>
          <w:p w14:paraId="358BA0D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13634B3" w14:textId="77777777" w:rsidTr="00B673B9">
        <w:trPr>
          <w:trHeight w:val="289"/>
        </w:trPr>
        <w:tc>
          <w:tcPr>
            <w:tcW w:w="1843" w:type="dxa"/>
            <w:gridSpan w:val="2"/>
            <w:vMerge/>
            <w:shd w:val="clear" w:color="000000" w:fill="FFFFFF"/>
          </w:tcPr>
          <w:p w14:paraId="36E4470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484CB86B" w14:textId="0006565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Target older homes still using oil to switch to renewable heating systems</w:t>
            </w:r>
          </w:p>
        </w:tc>
        <w:tc>
          <w:tcPr>
            <w:tcW w:w="6237" w:type="dxa"/>
            <w:vMerge/>
            <w:vAlign w:val="center"/>
          </w:tcPr>
          <w:p w14:paraId="6BB74746"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6C6AAEB7" w14:textId="48A656F5" w:rsidTr="00B673B9">
        <w:trPr>
          <w:trHeight w:val="289"/>
        </w:trPr>
        <w:tc>
          <w:tcPr>
            <w:tcW w:w="1843" w:type="dxa"/>
            <w:gridSpan w:val="2"/>
            <w:vMerge/>
            <w:shd w:val="clear" w:color="000000" w:fill="FFFFFF"/>
            <w:hideMark/>
          </w:tcPr>
          <w:p w14:paraId="2D5EFFD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47A051B0" w14:textId="30154EEE"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Promote the €500 million Home Energy Upgrade Loan Scheme, offering low interest loans for home energy upgrades, from €5,000 to €75,000.</w:t>
            </w:r>
          </w:p>
        </w:tc>
        <w:tc>
          <w:tcPr>
            <w:tcW w:w="6237" w:type="dxa"/>
            <w:vMerge/>
            <w:vAlign w:val="center"/>
          </w:tcPr>
          <w:p w14:paraId="3062E2B3"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77142E5" w14:textId="6517B141" w:rsidTr="00B673B9">
        <w:trPr>
          <w:trHeight w:val="289"/>
        </w:trPr>
        <w:tc>
          <w:tcPr>
            <w:tcW w:w="1843" w:type="dxa"/>
            <w:gridSpan w:val="2"/>
            <w:vMerge/>
            <w:shd w:val="clear" w:color="000000" w:fill="FFFFFF"/>
            <w:hideMark/>
          </w:tcPr>
          <w:p w14:paraId="64C5D4A3"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592EE76E"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Acknowledging the increased energy cost pressures on households and businesses, bring forward taxation measures to help contain energy costs, including with regard to VAT.</w:t>
            </w:r>
          </w:p>
        </w:tc>
        <w:tc>
          <w:tcPr>
            <w:tcW w:w="6237" w:type="dxa"/>
            <w:vMerge w:val="restart"/>
            <w:vAlign w:val="center"/>
          </w:tcPr>
          <w:p w14:paraId="43CD27C6"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reduced 9% VAT rate on electricity and gas has been extended until 31 December 2030, to help reduce household energy costs by up to €100 per annum.</w:t>
            </w:r>
          </w:p>
          <w:p w14:paraId="2DC2885E"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07BB33E" w14:textId="718245F4"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€400 income tax disregard for certain profits arising from the micro-generation of electricity is being extended for a further three years to 31 December 2028. The relief applies to a qualifying individual who generates energy from renewable, sustainable or alternative energy sources for their own consumption, and who sells surplus electricity to the grid.</w:t>
            </w:r>
          </w:p>
          <w:p w14:paraId="7018EAD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2D3A3B28" w14:textId="455F3249" w:rsidR="00690AF2"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Accelerated Capital Allowances (ACA) scheme for energy-efficient equipment is extended until 31 December 2030, encouraging investment in low-emission technology among businesses.</w:t>
            </w:r>
          </w:p>
          <w:p w14:paraId="55592223"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p>
          <w:p w14:paraId="520C6438" w14:textId="20C2B437" w:rsidR="00A54C3C" w:rsidRPr="002432CE"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The two</w:t>
            </w:r>
            <w:r>
              <w:rPr>
                <w:rFonts w:ascii="Times New Roman" w:eastAsia="Times New Roman" w:hAnsi="Times New Roman" w:cs="Times New Roman"/>
                <w:kern w:val="0"/>
                <w:sz w:val="24"/>
                <w:szCs w:val="24"/>
                <w:lang w:eastAsia="en-IE"/>
                <w14:ligatures w14:val="none"/>
              </w:rPr>
              <w:t>-</w:t>
            </w:r>
            <w:r w:rsidRPr="00A54C3C">
              <w:rPr>
                <w:rFonts w:ascii="Times New Roman" w:eastAsia="Times New Roman" w:hAnsi="Times New Roman" w:cs="Times New Roman"/>
                <w:kern w:val="0"/>
                <w:sz w:val="24"/>
                <w:szCs w:val="24"/>
                <w:lang w:eastAsia="en-IE"/>
                <w14:ligatures w14:val="none"/>
              </w:rPr>
              <w:t>way structure of the Renewable Electricity Support Scheme means that, during periods of high wholesale electricity prices, RESS projects return money to consumers, thereby shielding households and businesses from the full impact of price spikes.</w:t>
            </w:r>
          </w:p>
          <w:p w14:paraId="45C79319"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76EB088" w14:textId="2F74368E"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Department is leading the Cross Government Energy Affordability Taskforce which aims to identify, assess and implement measures that will enhance energy affordability for households and businesses, operating within the broader policy context set by the Programme for Government and Climate Action and Low Carbon Development (Amendment) Act 2021. A key output of this Taskforce will be to develop and publish an Energy Affordability Action Plan which will identify a comprehensive range of solutions including demand-side solutions for households to allow them to adjust their energy demand and avail of low cost, or otherwise surplus renewable energy.</w:t>
            </w:r>
          </w:p>
          <w:p w14:paraId="58F7FDED" w14:textId="2DFC3769" w:rsidR="00690AF2" w:rsidRPr="002432CE" w:rsidRDefault="00690AF2" w:rsidP="00690AF2">
            <w:pPr>
              <w:pStyle w:val="ListParagraph"/>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07FD63AD" w14:textId="77777777" w:rsidTr="00B673B9">
        <w:trPr>
          <w:trHeight w:val="289"/>
        </w:trPr>
        <w:tc>
          <w:tcPr>
            <w:tcW w:w="1843" w:type="dxa"/>
            <w:gridSpan w:val="2"/>
            <w:vMerge/>
            <w:shd w:val="clear" w:color="000000" w:fill="FFFFFF"/>
          </w:tcPr>
          <w:p w14:paraId="1CC618A5"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4A0F52E6" w14:textId="21F4ABE2"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Explore ways to use surplus renewable energy to help reduce energy poverty, ensuring that renewable energy benefits all communities.</w:t>
            </w:r>
          </w:p>
        </w:tc>
        <w:tc>
          <w:tcPr>
            <w:tcW w:w="6237" w:type="dxa"/>
            <w:vMerge/>
            <w:vAlign w:val="center"/>
          </w:tcPr>
          <w:p w14:paraId="2487C781"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3B2ED0F4" w14:textId="289E4993" w:rsidTr="00B673B9">
        <w:trPr>
          <w:trHeight w:val="300"/>
        </w:trPr>
        <w:tc>
          <w:tcPr>
            <w:tcW w:w="1843" w:type="dxa"/>
            <w:gridSpan w:val="2"/>
            <w:vMerge w:val="restart"/>
            <w:hideMark/>
          </w:tcPr>
          <w:p w14:paraId="49D6A907" w14:textId="7AFBD8AC"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r w:rsidRPr="00E25D07">
              <w:rPr>
                <w:rFonts w:ascii="Times New Roman" w:eastAsia="Times New Roman" w:hAnsi="Times New Roman" w:cs="Times New Roman"/>
                <w:i/>
                <w:iCs/>
                <w:kern w:val="0"/>
                <w:sz w:val="24"/>
                <w:szCs w:val="24"/>
                <w:lang w:eastAsia="en-IE"/>
                <w14:ligatures w14:val="none"/>
              </w:rPr>
              <w:t>"Protect and enhance our environment and improve the circular and resource-efficient economy"</w:t>
            </w:r>
          </w:p>
        </w:tc>
        <w:tc>
          <w:tcPr>
            <w:tcW w:w="2267" w:type="dxa"/>
            <w:noWrap/>
            <w:vAlign w:val="center"/>
            <w:hideMark/>
          </w:tcPr>
          <w:p w14:paraId="0CDAA669"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Support enterprises in the circular economy </w:t>
            </w:r>
          </w:p>
        </w:tc>
        <w:tc>
          <w:tcPr>
            <w:tcW w:w="6237" w:type="dxa"/>
            <w:vMerge w:val="restart"/>
            <w:vAlign w:val="center"/>
          </w:tcPr>
          <w:p w14:paraId="0012A152" w14:textId="4837E108"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r w:rsidRPr="00A54C3C">
              <w:rPr>
                <w:rFonts w:ascii="Times New Roman" w:eastAsia="Times New Roman" w:hAnsi="Times New Roman" w:cs="Times New Roman"/>
                <w:kern w:val="0"/>
                <w:sz w:val="24"/>
                <w:szCs w:val="24"/>
                <w:lang w:eastAsia="en-IE"/>
                <w14:ligatures w14:val="none"/>
              </w:rPr>
              <w:t xml:space="preserve">The Government </w:t>
            </w:r>
            <w:r>
              <w:rPr>
                <w:rFonts w:ascii="Times New Roman" w:eastAsia="Times New Roman" w:hAnsi="Times New Roman" w:cs="Times New Roman"/>
                <w:kern w:val="0"/>
                <w:sz w:val="24"/>
                <w:szCs w:val="24"/>
                <w:lang w:eastAsia="en-IE"/>
                <w14:ligatures w14:val="none"/>
              </w:rPr>
              <w:t>published</w:t>
            </w:r>
            <w:r w:rsidRPr="00A54C3C">
              <w:rPr>
                <w:rFonts w:ascii="Times New Roman" w:eastAsia="Times New Roman" w:hAnsi="Times New Roman" w:cs="Times New Roman"/>
                <w:kern w:val="0"/>
                <w:sz w:val="24"/>
                <w:szCs w:val="24"/>
                <w:lang w:eastAsia="en-IE"/>
                <w14:ligatures w14:val="none"/>
              </w:rPr>
              <w:t xml:space="preserve"> the second whole of government Circular Economy Strategy, which set</w:t>
            </w:r>
            <w:r>
              <w:rPr>
                <w:rFonts w:ascii="Times New Roman" w:eastAsia="Times New Roman" w:hAnsi="Times New Roman" w:cs="Times New Roman"/>
                <w:kern w:val="0"/>
                <w:sz w:val="24"/>
                <w:szCs w:val="24"/>
                <w:lang w:eastAsia="en-IE"/>
                <w14:ligatures w14:val="none"/>
              </w:rPr>
              <w:t>s</w:t>
            </w:r>
            <w:r w:rsidRPr="00A54C3C">
              <w:rPr>
                <w:rFonts w:ascii="Times New Roman" w:eastAsia="Times New Roman" w:hAnsi="Times New Roman" w:cs="Times New Roman"/>
                <w:kern w:val="0"/>
                <w:sz w:val="24"/>
                <w:szCs w:val="24"/>
                <w:lang w:eastAsia="en-IE"/>
                <w14:ligatures w14:val="none"/>
              </w:rPr>
              <w:t xml:space="preserve"> sectoral targets and actions across key areas to reduce resource use and increase reuse, repair and </w:t>
            </w:r>
            <w:r w:rsidRPr="00A54C3C">
              <w:rPr>
                <w:rFonts w:ascii="Times New Roman" w:eastAsia="Times New Roman" w:hAnsi="Times New Roman" w:cs="Times New Roman"/>
                <w:kern w:val="0"/>
                <w:sz w:val="24"/>
                <w:szCs w:val="24"/>
                <w:lang w:eastAsia="en-IE"/>
                <w14:ligatures w14:val="none"/>
              </w:rPr>
              <w:t>high-quality</w:t>
            </w:r>
            <w:r w:rsidRPr="00A54C3C">
              <w:rPr>
                <w:rFonts w:ascii="Times New Roman" w:eastAsia="Times New Roman" w:hAnsi="Times New Roman" w:cs="Times New Roman"/>
                <w:kern w:val="0"/>
                <w:sz w:val="24"/>
                <w:szCs w:val="24"/>
                <w:lang w:eastAsia="en-IE"/>
                <w14:ligatures w14:val="none"/>
              </w:rPr>
              <w:t xml:space="preserve"> recycling. This builds on measures already delivered, such as the Deposit Return Scheme</w:t>
            </w:r>
            <w:r>
              <w:rPr>
                <w:rFonts w:ascii="Times New Roman" w:eastAsia="Times New Roman" w:hAnsi="Times New Roman" w:cs="Times New Roman"/>
                <w:kern w:val="0"/>
                <w:sz w:val="24"/>
                <w:szCs w:val="24"/>
                <w:lang w:eastAsia="en-IE"/>
                <w14:ligatures w14:val="none"/>
              </w:rPr>
              <w:t>.</w:t>
            </w:r>
          </w:p>
          <w:p w14:paraId="3D2969D6" w14:textId="77777777" w:rsidR="00A54C3C" w:rsidRDefault="00A54C3C" w:rsidP="00690AF2">
            <w:pPr>
              <w:spacing w:after="0" w:line="240" w:lineRule="auto"/>
              <w:rPr>
                <w:rFonts w:ascii="Times New Roman" w:eastAsia="Times New Roman" w:hAnsi="Times New Roman" w:cs="Times New Roman"/>
                <w:kern w:val="0"/>
                <w:sz w:val="24"/>
                <w:szCs w:val="24"/>
                <w:lang w:eastAsia="en-IE"/>
                <w14:ligatures w14:val="none"/>
              </w:rPr>
            </w:pPr>
          </w:p>
          <w:p w14:paraId="1A872BBE" w14:textId="61652589" w:rsidR="00690AF2" w:rsidRPr="002432CE" w:rsidRDefault="00A54C3C" w:rsidP="00690AF2">
            <w:pPr>
              <w:spacing w:after="0" w:line="240" w:lineRule="auto"/>
              <w:rPr>
                <w:rFonts w:ascii="Times New Roman" w:eastAsia="Times New Roman" w:hAnsi="Times New Roman" w:cs="Times New Roman"/>
                <w:kern w:val="0"/>
                <w:sz w:val="24"/>
                <w:szCs w:val="24"/>
                <w:lang w:eastAsia="en-IE"/>
                <w14:ligatures w14:val="none"/>
              </w:rPr>
            </w:pPr>
            <w:r>
              <w:rPr>
                <w:rFonts w:ascii="Times New Roman" w:eastAsia="Times New Roman" w:hAnsi="Times New Roman" w:cs="Times New Roman"/>
                <w:kern w:val="0"/>
                <w:sz w:val="24"/>
                <w:szCs w:val="24"/>
                <w:lang w:eastAsia="en-IE"/>
                <w14:ligatures w14:val="none"/>
              </w:rPr>
              <w:t>The Department</w:t>
            </w:r>
            <w:r w:rsidR="00690AF2" w:rsidRPr="002432CE">
              <w:rPr>
                <w:rFonts w:ascii="Times New Roman" w:eastAsia="Times New Roman" w:hAnsi="Times New Roman" w:cs="Times New Roman"/>
                <w:kern w:val="0"/>
                <w:sz w:val="24"/>
                <w:szCs w:val="24"/>
                <w:lang w:eastAsia="en-IE"/>
                <w14:ligatures w14:val="none"/>
              </w:rPr>
              <w:t xml:space="preserve"> also provides for a range of supports for circular enterprises including increasing the annual allocation to the Circular Economy Innovation Grants Scheme from €650,000 to €1.5M as well as the introduction of a repair voucher scheme and the establishment of a Centre of Excellence for the circular economy to support industry in the transition.  </w:t>
            </w:r>
          </w:p>
          <w:p w14:paraId="4C3FDF5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F9A2905"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lastRenderedPageBreak/>
              <w:t>The Waste Action Plan for the Circular Economy (WAPCE) will be updated in 2026 to ensure that it aligns with and drives the implementation of the new strategy. The updated WAPCE will also reflect the commitments given in the Programme for Government and will inform and give direction to waste planning and management in Ireland, the delivery of appropriate infrastructure, and how we can enhance our capacity to transform waste into secondary materials and create a culture of circular behaviour.</w:t>
            </w:r>
          </w:p>
          <w:p w14:paraId="5B7963EB" w14:textId="4EA5DDEE"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DC1DC55" w14:textId="2B99EA2D" w:rsidTr="00B673B9">
        <w:trPr>
          <w:trHeight w:val="289"/>
        </w:trPr>
        <w:tc>
          <w:tcPr>
            <w:tcW w:w="1843" w:type="dxa"/>
            <w:gridSpan w:val="2"/>
            <w:vMerge/>
            <w:hideMark/>
          </w:tcPr>
          <w:p w14:paraId="3C2065F8"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hideMark/>
          </w:tcPr>
          <w:p w14:paraId="634F8C2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Set Waste Reduction Targets in appropriate sectors of our economy, encouraging sustainable practices. </w:t>
            </w:r>
          </w:p>
        </w:tc>
        <w:tc>
          <w:tcPr>
            <w:tcW w:w="6237" w:type="dxa"/>
            <w:vMerge/>
            <w:vAlign w:val="center"/>
          </w:tcPr>
          <w:p w14:paraId="4AB9896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3C54DCCA" w14:textId="4AD91214" w:rsidTr="00B673B9">
        <w:trPr>
          <w:trHeight w:val="289"/>
        </w:trPr>
        <w:tc>
          <w:tcPr>
            <w:tcW w:w="1843" w:type="dxa"/>
            <w:gridSpan w:val="2"/>
            <w:vMerge/>
            <w:hideMark/>
          </w:tcPr>
          <w:p w14:paraId="112EB359"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hideMark/>
          </w:tcPr>
          <w:p w14:paraId="59A57A62"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Support development of waste management infrastructure. Assess the need for a new waste to energy </w:t>
            </w:r>
            <w:r w:rsidRPr="002432CE">
              <w:rPr>
                <w:rFonts w:ascii="Times New Roman" w:eastAsia="Times New Roman" w:hAnsi="Times New Roman" w:cs="Times New Roman"/>
                <w:kern w:val="0"/>
                <w:sz w:val="24"/>
                <w:szCs w:val="24"/>
                <w:lang w:eastAsia="en-IE"/>
                <w14:ligatures w14:val="none"/>
              </w:rPr>
              <w:lastRenderedPageBreak/>
              <w:t>facility and maintain a renewed focus on zero waste infrastructure</w:t>
            </w:r>
          </w:p>
        </w:tc>
        <w:tc>
          <w:tcPr>
            <w:tcW w:w="6237" w:type="dxa"/>
            <w:vMerge/>
            <w:vAlign w:val="center"/>
          </w:tcPr>
          <w:p w14:paraId="0497650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86426B9" w14:textId="7B906865" w:rsidTr="00B673B9">
        <w:trPr>
          <w:trHeight w:val="300"/>
        </w:trPr>
        <w:tc>
          <w:tcPr>
            <w:tcW w:w="1843" w:type="dxa"/>
            <w:gridSpan w:val="2"/>
            <w:vMerge/>
            <w:hideMark/>
          </w:tcPr>
          <w:p w14:paraId="7810CCEE"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tcPr>
          <w:p w14:paraId="1538355E" w14:textId="6869CE1D"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Modernise and consolidate legislation pertaining to inland fisheries. </w:t>
            </w:r>
          </w:p>
        </w:tc>
        <w:tc>
          <w:tcPr>
            <w:tcW w:w="6237" w:type="dxa"/>
            <w:vAlign w:val="center"/>
          </w:tcPr>
          <w:p w14:paraId="4A38AEE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Department has been working with Inland Fisheries Ireland to review existing legislation and develop legislative proposals to modernise the regulatory framework, provide stronger enforcement tools and address pressures such as climate change, water quality and habitat degradation. </w:t>
            </w:r>
          </w:p>
          <w:p w14:paraId="6E01F455" w14:textId="06A8E898"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bl>
    <w:p w14:paraId="0A933A9F" w14:textId="0B9361A3" w:rsidR="00E8294E" w:rsidRPr="00A54C3C" w:rsidRDefault="00E8294E" w:rsidP="00E8294E">
      <w:pPr>
        <w:spacing w:line="360" w:lineRule="auto"/>
        <w:rPr>
          <w:rFonts w:ascii="Times New Roman" w:hAnsi="Times New Roman" w:cs="Times New Roman"/>
          <w:sz w:val="30"/>
          <w:szCs w:val="30"/>
        </w:rPr>
      </w:pPr>
    </w:p>
    <w:p w14:paraId="4F99A014" w14:textId="3EF9D8B2" w:rsidR="00A54C3C" w:rsidRPr="00A54C3C" w:rsidRDefault="00A54C3C" w:rsidP="00A54C3C">
      <w:pPr>
        <w:spacing w:line="360" w:lineRule="auto"/>
        <w:ind w:left="567"/>
        <w:rPr>
          <w:rFonts w:ascii="Times New Roman" w:hAnsi="Times New Roman" w:cs="Times New Roman"/>
          <w:sz w:val="30"/>
          <w:szCs w:val="30"/>
        </w:rPr>
      </w:pPr>
    </w:p>
    <w:sectPr w:rsidR="00A54C3C" w:rsidRPr="00A54C3C" w:rsidSect="00B673B9">
      <w:pgSz w:w="11906" w:h="16838" w:code="9"/>
      <w:pgMar w:top="1440" w:right="1440" w:bottom="144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2CFFB" w14:textId="77777777" w:rsidR="00933B8F" w:rsidRDefault="00933B8F" w:rsidP="008D66D1">
      <w:pPr>
        <w:spacing w:after="0" w:line="240" w:lineRule="auto"/>
      </w:pPr>
      <w:r>
        <w:separator/>
      </w:r>
    </w:p>
  </w:endnote>
  <w:endnote w:type="continuationSeparator" w:id="0">
    <w:p w14:paraId="30D2C8A7" w14:textId="77777777" w:rsidR="00933B8F" w:rsidRDefault="00933B8F" w:rsidP="008D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79636" w14:textId="77777777" w:rsidR="00933B8F" w:rsidRDefault="00933B8F" w:rsidP="008D66D1">
      <w:pPr>
        <w:spacing w:after="0" w:line="240" w:lineRule="auto"/>
      </w:pPr>
      <w:r>
        <w:separator/>
      </w:r>
    </w:p>
  </w:footnote>
  <w:footnote w:type="continuationSeparator" w:id="0">
    <w:p w14:paraId="1EB7C0C7" w14:textId="77777777" w:rsidR="00933B8F" w:rsidRDefault="00933B8F" w:rsidP="008D6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593"/>
    <w:multiLevelType w:val="hybridMultilevel"/>
    <w:tmpl w:val="7F345D5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1AA7FB8"/>
    <w:multiLevelType w:val="hybridMultilevel"/>
    <w:tmpl w:val="E9BED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2F0E3E"/>
    <w:multiLevelType w:val="hybridMultilevel"/>
    <w:tmpl w:val="60AE46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E3202"/>
    <w:multiLevelType w:val="hybridMultilevel"/>
    <w:tmpl w:val="11BA4FA6"/>
    <w:lvl w:ilvl="0" w:tplc="FAD8E246">
      <w:numFmt w:val="bullet"/>
      <w:lvlText w:val="•"/>
      <w:lvlJc w:val="left"/>
      <w:pPr>
        <w:ind w:left="1080" w:hanging="72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DB17AE8"/>
    <w:multiLevelType w:val="hybridMultilevel"/>
    <w:tmpl w:val="FC7CAE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1460662A"/>
    <w:multiLevelType w:val="hybridMultilevel"/>
    <w:tmpl w:val="C1C2C1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1FAF2DC5"/>
    <w:multiLevelType w:val="hybridMultilevel"/>
    <w:tmpl w:val="189094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84B639B"/>
    <w:multiLevelType w:val="hybridMultilevel"/>
    <w:tmpl w:val="F83CC2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3BDD5693"/>
    <w:multiLevelType w:val="hybridMultilevel"/>
    <w:tmpl w:val="400441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89622087">
    <w:abstractNumId w:val="3"/>
  </w:num>
  <w:num w:numId="2" w16cid:durableId="1217618208">
    <w:abstractNumId w:val="3"/>
  </w:num>
  <w:num w:numId="3" w16cid:durableId="653484749">
    <w:abstractNumId w:val="2"/>
  </w:num>
  <w:num w:numId="4" w16cid:durableId="1053967022">
    <w:abstractNumId w:val="4"/>
  </w:num>
  <w:num w:numId="5" w16cid:durableId="1197157468">
    <w:abstractNumId w:val="1"/>
  </w:num>
  <w:num w:numId="6" w16cid:durableId="475800181">
    <w:abstractNumId w:val="7"/>
  </w:num>
  <w:num w:numId="7" w16cid:durableId="1724211854">
    <w:abstractNumId w:val="6"/>
  </w:num>
  <w:num w:numId="8" w16cid:durableId="1243225717">
    <w:abstractNumId w:val="0"/>
  </w:num>
  <w:num w:numId="9" w16cid:durableId="1270117891">
    <w:abstractNumId w:val="5"/>
  </w:num>
  <w:num w:numId="10" w16cid:durableId="259026777">
    <w:abstractNumId w:val="0"/>
  </w:num>
  <w:num w:numId="11" w16cid:durableId="15327205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BFA"/>
    <w:rsid w:val="00017C85"/>
    <w:rsid w:val="00023723"/>
    <w:rsid w:val="00024CD4"/>
    <w:rsid w:val="000556C4"/>
    <w:rsid w:val="000651F6"/>
    <w:rsid w:val="0007008D"/>
    <w:rsid w:val="00075DEC"/>
    <w:rsid w:val="000838EF"/>
    <w:rsid w:val="00095245"/>
    <w:rsid w:val="000A57C2"/>
    <w:rsid w:val="000A611F"/>
    <w:rsid w:val="000B25AA"/>
    <w:rsid w:val="000C4475"/>
    <w:rsid w:val="000D7AD1"/>
    <w:rsid w:val="00121FAE"/>
    <w:rsid w:val="00124F95"/>
    <w:rsid w:val="001365BD"/>
    <w:rsid w:val="001370EB"/>
    <w:rsid w:val="001544EF"/>
    <w:rsid w:val="00174CD0"/>
    <w:rsid w:val="00182542"/>
    <w:rsid w:val="001B2FB4"/>
    <w:rsid w:val="00221778"/>
    <w:rsid w:val="00222402"/>
    <w:rsid w:val="0022396E"/>
    <w:rsid w:val="00233E60"/>
    <w:rsid w:val="002432CE"/>
    <w:rsid w:val="0025329F"/>
    <w:rsid w:val="0027591E"/>
    <w:rsid w:val="002A685F"/>
    <w:rsid w:val="002D6936"/>
    <w:rsid w:val="00315D61"/>
    <w:rsid w:val="00322851"/>
    <w:rsid w:val="00330683"/>
    <w:rsid w:val="003338C8"/>
    <w:rsid w:val="00333B1F"/>
    <w:rsid w:val="003344B4"/>
    <w:rsid w:val="0033489A"/>
    <w:rsid w:val="00343617"/>
    <w:rsid w:val="0038335E"/>
    <w:rsid w:val="003972DB"/>
    <w:rsid w:val="003A78CF"/>
    <w:rsid w:val="003B09D8"/>
    <w:rsid w:val="003B41C9"/>
    <w:rsid w:val="003C33DD"/>
    <w:rsid w:val="00413B00"/>
    <w:rsid w:val="004177CE"/>
    <w:rsid w:val="0043794F"/>
    <w:rsid w:val="00477B4F"/>
    <w:rsid w:val="00491CB0"/>
    <w:rsid w:val="004A25FA"/>
    <w:rsid w:val="004A3D71"/>
    <w:rsid w:val="004A7FB8"/>
    <w:rsid w:val="004B69D3"/>
    <w:rsid w:val="004F0B36"/>
    <w:rsid w:val="004F797F"/>
    <w:rsid w:val="00502511"/>
    <w:rsid w:val="00535C12"/>
    <w:rsid w:val="00554CA7"/>
    <w:rsid w:val="005566B5"/>
    <w:rsid w:val="00592322"/>
    <w:rsid w:val="00594736"/>
    <w:rsid w:val="0059491F"/>
    <w:rsid w:val="00597B2D"/>
    <w:rsid w:val="005A06D3"/>
    <w:rsid w:val="005E52DF"/>
    <w:rsid w:val="0060197C"/>
    <w:rsid w:val="006069A6"/>
    <w:rsid w:val="00626A5B"/>
    <w:rsid w:val="00656CB6"/>
    <w:rsid w:val="00662340"/>
    <w:rsid w:val="006674B7"/>
    <w:rsid w:val="0067274B"/>
    <w:rsid w:val="00690AF2"/>
    <w:rsid w:val="00690CB4"/>
    <w:rsid w:val="006A4BE4"/>
    <w:rsid w:val="006A55C6"/>
    <w:rsid w:val="006B4008"/>
    <w:rsid w:val="006B60A9"/>
    <w:rsid w:val="006C63D8"/>
    <w:rsid w:val="006E0B1B"/>
    <w:rsid w:val="006E4E7E"/>
    <w:rsid w:val="006F13C1"/>
    <w:rsid w:val="006F1E5E"/>
    <w:rsid w:val="006F3C29"/>
    <w:rsid w:val="00745356"/>
    <w:rsid w:val="00760C47"/>
    <w:rsid w:val="00761A71"/>
    <w:rsid w:val="007630FB"/>
    <w:rsid w:val="007651B5"/>
    <w:rsid w:val="007D7BFA"/>
    <w:rsid w:val="007F11FA"/>
    <w:rsid w:val="007F7903"/>
    <w:rsid w:val="0081423A"/>
    <w:rsid w:val="00827B40"/>
    <w:rsid w:val="00845AC0"/>
    <w:rsid w:val="00852E64"/>
    <w:rsid w:val="00854DB5"/>
    <w:rsid w:val="008662BF"/>
    <w:rsid w:val="00873061"/>
    <w:rsid w:val="00883C83"/>
    <w:rsid w:val="0088561A"/>
    <w:rsid w:val="00890D71"/>
    <w:rsid w:val="00894FCF"/>
    <w:rsid w:val="008A3813"/>
    <w:rsid w:val="008A3D31"/>
    <w:rsid w:val="008D66D1"/>
    <w:rsid w:val="008F659A"/>
    <w:rsid w:val="009021A8"/>
    <w:rsid w:val="009023CF"/>
    <w:rsid w:val="00913C00"/>
    <w:rsid w:val="00933B8F"/>
    <w:rsid w:val="009521F3"/>
    <w:rsid w:val="00974DE0"/>
    <w:rsid w:val="00990158"/>
    <w:rsid w:val="00993615"/>
    <w:rsid w:val="009A49C4"/>
    <w:rsid w:val="00A10C32"/>
    <w:rsid w:val="00A1481D"/>
    <w:rsid w:val="00A211AB"/>
    <w:rsid w:val="00A54C3C"/>
    <w:rsid w:val="00A6120A"/>
    <w:rsid w:val="00A8045D"/>
    <w:rsid w:val="00A87C2C"/>
    <w:rsid w:val="00A93A62"/>
    <w:rsid w:val="00A97FF0"/>
    <w:rsid w:val="00AB0F7E"/>
    <w:rsid w:val="00AC2191"/>
    <w:rsid w:val="00AD2D7D"/>
    <w:rsid w:val="00AD65F2"/>
    <w:rsid w:val="00AE1F61"/>
    <w:rsid w:val="00AE29F8"/>
    <w:rsid w:val="00B00420"/>
    <w:rsid w:val="00B236C6"/>
    <w:rsid w:val="00B255FE"/>
    <w:rsid w:val="00B338C4"/>
    <w:rsid w:val="00B44D04"/>
    <w:rsid w:val="00B5121C"/>
    <w:rsid w:val="00B673B9"/>
    <w:rsid w:val="00B80941"/>
    <w:rsid w:val="00B825DD"/>
    <w:rsid w:val="00B877AC"/>
    <w:rsid w:val="00B93EE0"/>
    <w:rsid w:val="00B96A3D"/>
    <w:rsid w:val="00BA2D87"/>
    <w:rsid w:val="00BB1135"/>
    <w:rsid w:val="00BB22F1"/>
    <w:rsid w:val="00BB5D37"/>
    <w:rsid w:val="00BE0758"/>
    <w:rsid w:val="00C05306"/>
    <w:rsid w:val="00C11EB1"/>
    <w:rsid w:val="00C236A0"/>
    <w:rsid w:val="00C3479E"/>
    <w:rsid w:val="00C56A3B"/>
    <w:rsid w:val="00CA09C5"/>
    <w:rsid w:val="00CA65FF"/>
    <w:rsid w:val="00CB015F"/>
    <w:rsid w:val="00CB175C"/>
    <w:rsid w:val="00CC0937"/>
    <w:rsid w:val="00CF0407"/>
    <w:rsid w:val="00CF1BFD"/>
    <w:rsid w:val="00D11DBA"/>
    <w:rsid w:val="00D12476"/>
    <w:rsid w:val="00D21D69"/>
    <w:rsid w:val="00D4752E"/>
    <w:rsid w:val="00D522AF"/>
    <w:rsid w:val="00DC1099"/>
    <w:rsid w:val="00DC1D46"/>
    <w:rsid w:val="00DD7D17"/>
    <w:rsid w:val="00DF48C9"/>
    <w:rsid w:val="00E15E2A"/>
    <w:rsid w:val="00E2495B"/>
    <w:rsid w:val="00E24B0C"/>
    <w:rsid w:val="00E25D07"/>
    <w:rsid w:val="00E40D1F"/>
    <w:rsid w:val="00E80230"/>
    <w:rsid w:val="00E8294E"/>
    <w:rsid w:val="00EA22BB"/>
    <w:rsid w:val="00EB6BE5"/>
    <w:rsid w:val="00EB6D10"/>
    <w:rsid w:val="00ED18B9"/>
    <w:rsid w:val="00EE21C2"/>
    <w:rsid w:val="00EF7D2E"/>
    <w:rsid w:val="00F1119E"/>
    <w:rsid w:val="00F12160"/>
    <w:rsid w:val="00F12896"/>
    <w:rsid w:val="00F571D3"/>
    <w:rsid w:val="00F714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5F46"/>
  <w15:chartTrackingRefBased/>
  <w15:docId w15:val="{DC6AB34F-0881-4378-9448-FEE658DC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BFA"/>
    <w:rPr>
      <w:rFonts w:eastAsiaTheme="majorEastAsia" w:cstheme="majorBidi"/>
      <w:color w:val="272727" w:themeColor="text1" w:themeTint="D8"/>
    </w:rPr>
  </w:style>
  <w:style w:type="paragraph" w:styleId="Title">
    <w:name w:val="Title"/>
    <w:basedOn w:val="Normal"/>
    <w:next w:val="Normal"/>
    <w:link w:val="TitleChar"/>
    <w:uiPriority w:val="10"/>
    <w:qFormat/>
    <w:rsid w:val="007D7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BFA"/>
    <w:pPr>
      <w:spacing w:before="160"/>
      <w:jc w:val="center"/>
    </w:pPr>
    <w:rPr>
      <w:i/>
      <w:iCs/>
      <w:color w:val="404040" w:themeColor="text1" w:themeTint="BF"/>
    </w:rPr>
  </w:style>
  <w:style w:type="character" w:customStyle="1" w:styleId="QuoteChar">
    <w:name w:val="Quote Char"/>
    <w:basedOn w:val="DefaultParagraphFont"/>
    <w:link w:val="Quote"/>
    <w:uiPriority w:val="29"/>
    <w:rsid w:val="007D7BFA"/>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Graphic"/>
    <w:basedOn w:val="Normal"/>
    <w:link w:val="ListParagraphChar"/>
    <w:uiPriority w:val="34"/>
    <w:qFormat/>
    <w:rsid w:val="007D7BFA"/>
    <w:pPr>
      <w:ind w:left="720"/>
      <w:contextualSpacing/>
    </w:pPr>
  </w:style>
  <w:style w:type="character" w:styleId="IntenseEmphasis">
    <w:name w:val="Intense Emphasis"/>
    <w:basedOn w:val="DefaultParagraphFont"/>
    <w:uiPriority w:val="21"/>
    <w:qFormat/>
    <w:rsid w:val="007D7BFA"/>
    <w:rPr>
      <w:i/>
      <w:iCs/>
      <w:color w:val="0F4761" w:themeColor="accent1" w:themeShade="BF"/>
    </w:rPr>
  </w:style>
  <w:style w:type="paragraph" w:styleId="IntenseQuote">
    <w:name w:val="Intense Quote"/>
    <w:basedOn w:val="Normal"/>
    <w:next w:val="Normal"/>
    <w:link w:val="IntenseQuoteChar"/>
    <w:uiPriority w:val="30"/>
    <w:qFormat/>
    <w:rsid w:val="007D7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BFA"/>
    <w:rPr>
      <w:i/>
      <w:iCs/>
      <w:color w:val="0F4761" w:themeColor="accent1" w:themeShade="BF"/>
    </w:rPr>
  </w:style>
  <w:style w:type="character" w:styleId="IntenseReference">
    <w:name w:val="Intense Reference"/>
    <w:basedOn w:val="DefaultParagraphFont"/>
    <w:uiPriority w:val="32"/>
    <w:qFormat/>
    <w:rsid w:val="007D7BFA"/>
    <w:rPr>
      <w:b/>
      <w:bCs/>
      <w:smallCaps/>
      <w:color w:val="0F4761" w:themeColor="accent1" w:themeShade="BF"/>
      <w:spacing w:val="5"/>
    </w:rPr>
  </w:style>
  <w:style w:type="table" w:styleId="TableGrid">
    <w:name w:val="Table Grid"/>
    <w:basedOn w:val="TableNormal"/>
    <w:uiPriority w:val="39"/>
    <w:rsid w:val="007D7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5AC0"/>
    <w:pPr>
      <w:spacing w:after="0" w:line="240" w:lineRule="auto"/>
    </w:pPr>
  </w:style>
  <w:style w:type="character" w:styleId="CommentReference">
    <w:name w:val="annotation reference"/>
    <w:basedOn w:val="DefaultParagraphFont"/>
    <w:uiPriority w:val="99"/>
    <w:semiHidden/>
    <w:unhideWhenUsed/>
    <w:rsid w:val="00845AC0"/>
    <w:rPr>
      <w:sz w:val="16"/>
      <w:szCs w:val="16"/>
    </w:rPr>
  </w:style>
  <w:style w:type="paragraph" w:styleId="CommentText">
    <w:name w:val="annotation text"/>
    <w:basedOn w:val="Normal"/>
    <w:link w:val="CommentTextChar"/>
    <w:uiPriority w:val="99"/>
    <w:unhideWhenUsed/>
    <w:rsid w:val="00845AC0"/>
    <w:pPr>
      <w:spacing w:line="240" w:lineRule="auto"/>
    </w:pPr>
    <w:rPr>
      <w:sz w:val="20"/>
      <w:szCs w:val="20"/>
    </w:rPr>
  </w:style>
  <w:style w:type="character" w:customStyle="1" w:styleId="CommentTextChar">
    <w:name w:val="Comment Text Char"/>
    <w:basedOn w:val="DefaultParagraphFont"/>
    <w:link w:val="CommentText"/>
    <w:uiPriority w:val="99"/>
    <w:rsid w:val="00845AC0"/>
    <w:rPr>
      <w:sz w:val="20"/>
      <w:szCs w:val="20"/>
    </w:rPr>
  </w:style>
  <w:style w:type="paragraph" w:styleId="CommentSubject">
    <w:name w:val="annotation subject"/>
    <w:basedOn w:val="CommentText"/>
    <w:next w:val="CommentText"/>
    <w:link w:val="CommentSubjectChar"/>
    <w:uiPriority w:val="99"/>
    <w:semiHidden/>
    <w:unhideWhenUsed/>
    <w:rsid w:val="00845AC0"/>
    <w:rPr>
      <w:b/>
      <w:bCs/>
    </w:rPr>
  </w:style>
  <w:style w:type="character" w:customStyle="1" w:styleId="CommentSubjectChar">
    <w:name w:val="Comment Subject Char"/>
    <w:basedOn w:val="CommentTextChar"/>
    <w:link w:val="CommentSubject"/>
    <w:uiPriority w:val="99"/>
    <w:semiHidden/>
    <w:rsid w:val="00845AC0"/>
    <w:rPr>
      <w:b/>
      <w:bCs/>
      <w:sz w:val="20"/>
      <w:szCs w:val="20"/>
    </w:rPr>
  </w:style>
  <w:style w:type="paragraph" w:styleId="Header">
    <w:name w:val="header"/>
    <w:basedOn w:val="Normal"/>
    <w:link w:val="HeaderChar"/>
    <w:uiPriority w:val="99"/>
    <w:unhideWhenUsed/>
    <w:rsid w:val="008D6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6D1"/>
  </w:style>
  <w:style w:type="paragraph" w:styleId="Footer">
    <w:name w:val="footer"/>
    <w:basedOn w:val="Normal"/>
    <w:link w:val="FooterChar"/>
    <w:uiPriority w:val="99"/>
    <w:unhideWhenUsed/>
    <w:rsid w:val="008D6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6D1"/>
  </w:style>
  <w:style w:type="paragraph" w:styleId="NormalWeb">
    <w:name w:val="Normal (Web)"/>
    <w:basedOn w:val="Normal"/>
    <w:uiPriority w:val="99"/>
    <w:unhideWhenUsed/>
    <w:rsid w:val="00974DE0"/>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Emphasis">
    <w:name w:val="Emphasis"/>
    <w:basedOn w:val="DefaultParagraphFont"/>
    <w:uiPriority w:val="20"/>
    <w:qFormat/>
    <w:rsid w:val="00974DE0"/>
    <w:rPr>
      <w:i/>
      <w:iCs/>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basedOn w:val="DefaultParagraphFont"/>
    <w:link w:val="ListParagraph"/>
    <w:uiPriority w:val="34"/>
    <w:qFormat/>
    <w:locked/>
    <w:rsid w:val="009A4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524710">
      <w:bodyDiv w:val="1"/>
      <w:marLeft w:val="0"/>
      <w:marRight w:val="0"/>
      <w:marTop w:val="0"/>
      <w:marBottom w:val="0"/>
      <w:divBdr>
        <w:top w:val="none" w:sz="0" w:space="0" w:color="auto"/>
        <w:left w:val="none" w:sz="0" w:space="0" w:color="auto"/>
        <w:bottom w:val="none" w:sz="0" w:space="0" w:color="auto"/>
        <w:right w:val="none" w:sz="0" w:space="0" w:color="auto"/>
      </w:divBdr>
    </w:div>
    <w:div w:id="1609317194">
      <w:bodyDiv w:val="1"/>
      <w:marLeft w:val="0"/>
      <w:marRight w:val="0"/>
      <w:marTop w:val="0"/>
      <w:marBottom w:val="0"/>
      <w:divBdr>
        <w:top w:val="none" w:sz="0" w:space="0" w:color="auto"/>
        <w:left w:val="none" w:sz="0" w:space="0" w:color="auto"/>
        <w:bottom w:val="none" w:sz="0" w:space="0" w:color="auto"/>
        <w:right w:val="none" w:sz="0" w:space="0" w:color="auto"/>
      </w:divBdr>
    </w:div>
    <w:div w:id="183193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2f538d3d9cf7b98b89710137dde6d9cd">
  <xsd:schema xmlns:xsd="http://www.w3.org/2001/XMLSchema" xmlns:xs="http://www.w3.org/2001/XMLSchema" xmlns:p="http://schemas.microsoft.com/office/2006/metadata/properties" xmlns:ns1="http://schemas.microsoft.com/sharepoint/v3" targetNamespace="http://schemas.microsoft.com/office/2006/metadata/properties" ma:root="true" ma:fieldsID="b57d6ad8ff3bae82b440ca7ed46b6796"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0DDB25EC-3C60-440F-99A2-64B7D24B8825}">
  <ds:schemaRefs>
    <ds:schemaRef ds:uri="http://schemas.openxmlformats.org/officeDocument/2006/bibliography"/>
  </ds:schemaRefs>
</ds:datastoreItem>
</file>

<file path=customXml/itemProps2.xml><?xml version="1.0" encoding="utf-8"?>
<ds:datastoreItem xmlns:ds="http://schemas.openxmlformats.org/officeDocument/2006/customXml" ds:itemID="{56083176-627D-41F5-AF7C-8A7FFFF6518F}">
  <ds:schemaRefs>
    <ds:schemaRef ds:uri="http://schemas.microsoft.com/sharepoint/v3/contenttype/forms"/>
  </ds:schemaRefs>
</ds:datastoreItem>
</file>

<file path=customXml/itemProps3.xml><?xml version="1.0" encoding="utf-8"?>
<ds:datastoreItem xmlns:ds="http://schemas.openxmlformats.org/officeDocument/2006/customXml" ds:itemID="{83893299-7EF2-4A26-9C17-7CF4EF056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49BF54-3730-407F-8805-652B6924E52D}">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2471</Words>
  <Characters>14090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Devlin (DCEE)</dc:creator>
  <cp:keywords/>
  <dc:description/>
  <cp:lastModifiedBy>Brendan Devlin (DCEE)</cp:lastModifiedBy>
  <cp:revision>4</cp:revision>
  <dcterms:created xsi:type="dcterms:W3CDTF">2026-05-28T12:48:00Z</dcterms:created>
  <dcterms:modified xsi:type="dcterms:W3CDTF">2026-05-28T13:05:00Z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ies>
</file>