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2237F" w14:textId="77777777" w:rsidR="00A12F28" w:rsidRDefault="00A12F28" w:rsidP="00A12F2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A12F28" w14:paraId="623E226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8B1DA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BD58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Teagasc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8EDD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Bord Bia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18BCD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BIM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D174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Marine Institute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F16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SFPA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04BF0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Agri Food Regulator</w:t>
            </w:r>
          </w:p>
        </w:tc>
      </w:tr>
      <w:tr w:rsidR="00A12F28" w14:paraId="5ADCD4D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9EE89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0A49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6C569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52E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8D782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0788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25.9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CDF3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3.2</w:t>
            </w:r>
          </w:p>
        </w:tc>
      </w:tr>
      <w:tr w:rsidR="00A12F28" w14:paraId="6D48C81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F1AF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B740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E8CF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59.9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23BC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BA0D9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68C16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8E72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1.9</w:t>
            </w:r>
          </w:p>
        </w:tc>
      </w:tr>
      <w:tr w:rsidR="00A12F28" w14:paraId="7D55B7D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1140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A9CE0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FDAA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036C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1555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3D28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82C6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2.6</w:t>
            </w:r>
          </w:p>
        </w:tc>
      </w:tr>
      <w:tr w:rsidR="00A12F28" w14:paraId="0ACC70C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A07F2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FB72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162.2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1ACF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4F46C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166.4*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764D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4421D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19B7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5C906A8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458C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EF6DC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181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5C66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62.9*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4EA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F421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26.2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6BD1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18C79D1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2A03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578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F2E4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E628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E87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43.9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43C3A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67D9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68764BF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24A1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1C3FA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8235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48.2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F9792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677E7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2DE2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0EEC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3F2DD5E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621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66B2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141.2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5A00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9969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4165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9296D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E1B7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73A3C03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440D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8088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B815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D312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49E5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F16F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0A2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54ECE39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3216D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64C3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5F99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E625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ED9A6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0AAC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006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5E996B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38A2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77E1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116.2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16BC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0BD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9712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03E17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ED2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51AF180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848A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79977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3490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32.9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832F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8A9A3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C5FA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7FA0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60A172B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EE0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D7DCC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FF39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EB0F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653F4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F5F46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7040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1F57FE0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A4327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E7E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2DC8F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45C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58A7A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6A8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9686E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A12F28" w14:paraId="5654F00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949FB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7EA3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022A1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699C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94788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A1FA5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E4DD" w14:textId="77777777" w:rsidR="00A12F28" w:rsidRDefault="00A12F2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N/A</w:t>
            </w:r>
          </w:p>
        </w:tc>
      </w:tr>
    </w:tbl>
    <w:p w14:paraId="13889B81" w14:textId="77777777" w:rsidR="00A12F28" w:rsidRDefault="00A12F28" w:rsidP="00A12F28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AC2535D" w14:textId="77777777" w:rsidR="00A12F28" w:rsidRDefault="00A12F28" w:rsidP="00A12F2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C069B57" w14:textId="0C051D23" w:rsidR="00BB4C2B" w:rsidRDefault="00A12F28" w:rsidP="00A12F28">
      <w:r>
        <w:rPr>
          <w:rFonts w:ascii="Tms Rmn" w:hAnsi="Tms Rmn" w:cs="Tms Rmn"/>
          <w:color w:val="000000"/>
          <w:kern w:val="0"/>
          <w:sz w:val="24"/>
          <w:szCs w:val="24"/>
        </w:rPr>
        <w:t>* In both 2022 and 2023, BIM received significant additional funding under the Brexit Adjustment Reserve (</w:t>
      </w:r>
      <w:proofErr w:type="gramStart"/>
      <w:r>
        <w:rPr>
          <w:rFonts w:ascii="Tms Rmn" w:hAnsi="Tms Rmn" w:cs="Tms Rmn"/>
          <w:color w:val="000000"/>
          <w:kern w:val="0"/>
          <w:sz w:val="24"/>
          <w:szCs w:val="24"/>
        </w:rPr>
        <w:t>BAR(</w:t>
      </w:r>
      <w:proofErr w:type="gramEnd"/>
      <w:r>
        <w:rPr>
          <w:rFonts w:ascii="Tms Rmn" w:hAnsi="Tms Rmn" w:cs="Tms Rmn"/>
          <w:color w:val="000000"/>
          <w:kern w:val="0"/>
          <w:sz w:val="24"/>
          <w:szCs w:val="24"/>
        </w:rPr>
        <w:t>). BAR funding formed part of the annual budgetary process with matching receipts subsequently received from the EU.</w:t>
      </w:r>
    </w:p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31"/>
    <w:rsid w:val="007021FF"/>
    <w:rsid w:val="007458A4"/>
    <w:rsid w:val="00812331"/>
    <w:rsid w:val="00A12F28"/>
    <w:rsid w:val="00BB4C2B"/>
    <w:rsid w:val="00C8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72B0C8-8347-48EE-BD9E-E44638B9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3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3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3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2026-04-30T12:55:00Z</dcterms:created>
  <dcterms:modified xsi:type="dcterms:W3CDTF">2026-04-30T12:55:00Z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2026-04-30T12:55:18Z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8602b20e-7386-419d-b5a7-a5ca401d0259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