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0BF" w:firstRow="1" w:lastRow="0" w:firstColumn="1" w:lastColumn="0" w:noHBand="0" w:noVBand="0"/>
      </w:tblPr>
      <w:tblGrid>
        <w:gridCol w:w="4312"/>
        <w:gridCol w:w="4316"/>
        <w:gridCol w:w="4316"/>
      </w:tblGrid>
      <w:tr w:rsidR="00FD0D5F" w14:paraId="0516DE05" w14:textId="77777777" w:rsidTr="00FD0D5F">
        <w:tc>
          <w:tcPr>
            <w:tcW w:w="1666" w:type="pct"/>
            <w:tcBorders>
              <w:top w:val="single" w:sz="6" w:space="0" w:color="auto"/>
              <w:left w:val="single" w:sz="6" w:space="0" w:color="auto"/>
              <w:bottom w:val="single" w:sz="6" w:space="0" w:color="auto"/>
              <w:right w:val="single" w:sz="6" w:space="0" w:color="auto"/>
            </w:tcBorders>
          </w:tcPr>
          <w:p w14:paraId="2B5B96BA" w14:textId="77777777" w:rsidR="00FD0D5F" w:rsidRDefault="00FD0D5F">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Programme for Government Commitment  </w:t>
            </w:r>
          </w:p>
        </w:tc>
        <w:tc>
          <w:tcPr>
            <w:tcW w:w="1667" w:type="pct"/>
            <w:tcBorders>
              <w:top w:val="single" w:sz="6" w:space="0" w:color="auto"/>
              <w:left w:val="single" w:sz="6" w:space="0" w:color="auto"/>
              <w:bottom w:val="single" w:sz="6" w:space="0" w:color="auto"/>
              <w:right w:val="single" w:sz="6" w:space="0" w:color="auto"/>
            </w:tcBorders>
          </w:tcPr>
          <w:p w14:paraId="73B21FBB" w14:textId="77777777" w:rsidR="00FD0D5F" w:rsidRDefault="00FD0D5F">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Progress made since the formation of Government. Answer provided 21/01/2026 </w:t>
            </w:r>
            <w:r>
              <w:rPr>
                <w:rFonts w:ascii="Tms Rmn" w:hAnsi="Tms Rmn" w:cs="Tms Rmn"/>
                <w:b/>
                <w:bCs/>
                <w:color w:val="000000"/>
                <w:kern w:val="0"/>
                <w:sz w:val="24"/>
                <w:szCs w:val="24"/>
              </w:rPr>
              <w:br/>
              <w:t xml:space="preserve">For PQ 5206/26  </w:t>
            </w:r>
          </w:p>
        </w:tc>
        <w:tc>
          <w:tcPr>
            <w:tcW w:w="1667" w:type="pct"/>
            <w:tcBorders>
              <w:top w:val="single" w:sz="6" w:space="0" w:color="auto"/>
              <w:left w:val="single" w:sz="6" w:space="0" w:color="auto"/>
              <w:bottom w:val="single" w:sz="6" w:space="0" w:color="auto"/>
              <w:right w:val="single" w:sz="6" w:space="0" w:color="auto"/>
            </w:tcBorders>
          </w:tcPr>
          <w:p w14:paraId="137831B0" w14:textId="77777777" w:rsidR="00FD0D5F" w:rsidRDefault="00FD0D5F">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Further progress made in 2026 to date </w:t>
            </w:r>
          </w:p>
        </w:tc>
      </w:tr>
      <w:tr w:rsidR="00FD0D5F" w14:paraId="5A713F6D" w14:textId="77777777" w:rsidTr="00FD0D5F">
        <w:tc>
          <w:tcPr>
            <w:tcW w:w="1666" w:type="pct"/>
            <w:tcBorders>
              <w:top w:val="single" w:sz="6" w:space="0" w:color="auto"/>
              <w:left w:val="single" w:sz="6" w:space="0" w:color="auto"/>
              <w:bottom w:val="single" w:sz="6" w:space="0" w:color="auto"/>
              <w:right w:val="single" w:sz="6" w:space="0" w:color="auto"/>
            </w:tcBorders>
          </w:tcPr>
          <w:p w14:paraId="59501851" w14:textId="17D79909"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We will undertake a broad consultation and publish a detailed Action Plan to build an affordable, high-quality, accessible early childhood education and care system </w:t>
            </w:r>
            <w:r>
              <w:rPr>
                <w:rFonts w:ascii="Tms Rmn" w:hAnsi="Tms Rmn" w:cs="Tms Rmn"/>
                <w:color w:val="000000"/>
                <w:kern w:val="0"/>
                <w:sz w:val="24"/>
                <w:szCs w:val="24"/>
              </w:rPr>
              <w:br/>
              <w:t xml:space="preserve">with State-led facilities adding capacity. This plan will enhance parental choice through ongoing support for public, private and community provision, as well as </w:t>
            </w:r>
            <w:r>
              <w:rPr>
                <w:rFonts w:ascii="Tms Rmn" w:hAnsi="Tms Rmn" w:cs="Tms Rmn"/>
                <w:color w:val="000000"/>
                <w:kern w:val="0"/>
                <w:sz w:val="24"/>
                <w:szCs w:val="24"/>
              </w:rPr>
              <w:br/>
              <w:t xml:space="preserve">childminders.  </w:t>
            </w:r>
          </w:p>
        </w:tc>
        <w:tc>
          <w:tcPr>
            <w:tcW w:w="1667" w:type="pct"/>
            <w:tcBorders>
              <w:top w:val="single" w:sz="6" w:space="0" w:color="auto"/>
              <w:left w:val="single" w:sz="6" w:space="0" w:color="auto"/>
              <w:bottom w:val="single" w:sz="6" w:space="0" w:color="auto"/>
              <w:right w:val="single" w:sz="6" w:space="0" w:color="auto"/>
            </w:tcBorders>
          </w:tcPr>
          <w:p w14:paraId="70C1C599"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Action Plan will be published in two phases, with Phase 1 actions to be undertaken in 2026, and Phase 2 to be published later in 2026 following a broad consultation process. Shaping the Future, Early Years Phase 1 report was published on 17 December 2025.  </w:t>
            </w:r>
          </w:p>
        </w:tc>
        <w:tc>
          <w:tcPr>
            <w:tcW w:w="1667" w:type="pct"/>
            <w:tcBorders>
              <w:top w:val="single" w:sz="6" w:space="0" w:color="auto"/>
              <w:left w:val="single" w:sz="6" w:space="0" w:color="auto"/>
              <w:bottom w:val="single" w:sz="6" w:space="0" w:color="auto"/>
              <w:right w:val="single" w:sz="6" w:space="0" w:color="auto"/>
            </w:tcBorders>
          </w:tcPr>
          <w:p w14:paraId="54C6672E"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national online survey launched on the 4th of February and will run until March 12th. The survey explores investment priorities as well as the role of ELC and SAC in the education system. This is the first stage in a multiple stage process which also involves local consultations and a national stakeholder event.  </w:t>
            </w:r>
          </w:p>
        </w:tc>
      </w:tr>
      <w:tr w:rsidR="00FD0D5F" w14:paraId="3E049D8F" w14:textId="77777777" w:rsidTr="00FD0D5F">
        <w:tc>
          <w:tcPr>
            <w:tcW w:w="1666" w:type="pct"/>
            <w:tcBorders>
              <w:top w:val="single" w:sz="6" w:space="0" w:color="auto"/>
              <w:left w:val="single" w:sz="6" w:space="0" w:color="auto"/>
              <w:bottom w:val="single" w:sz="6" w:space="0" w:color="auto"/>
              <w:right w:val="single" w:sz="6" w:space="0" w:color="auto"/>
            </w:tcBorders>
          </w:tcPr>
          <w:p w14:paraId="459B3222"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Resource and transform the Supply Management Unit into a Forward Planning and Delivery Unit within the Department to identify areas of need, forecast demand and deliver public supply within the childcare sector where required.  </w:t>
            </w:r>
          </w:p>
        </w:tc>
        <w:tc>
          <w:tcPr>
            <w:tcW w:w="1667" w:type="pct"/>
            <w:tcBorders>
              <w:top w:val="single" w:sz="6" w:space="0" w:color="auto"/>
              <w:left w:val="single" w:sz="6" w:space="0" w:color="auto"/>
              <w:bottom w:val="single" w:sz="6" w:space="0" w:color="auto"/>
              <w:right w:val="single" w:sz="6" w:space="0" w:color="auto"/>
            </w:tcBorders>
          </w:tcPr>
          <w:p w14:paraId="6DDF0DA7"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Unit is now the Forward Planning and Delivery Unit. Additional staff were allocated over the course of 2025 and other vacancies sanctioned. Forward Planning model well advanced.   </w:t>
            </w:r>
          </w:p>
        </w:tc>
        <w:tc>
          <w:tcPr>
            <w:tcW w:w="1667" w:type="pct"/>
            <w:tcBorders>
              <w:top w:val="single" w:sz="6" w:space="0" w:color="auto"/>
              <w:left w:val="single" w:sz="6" w:space="0" w:color="auto"/>
              <w:bottom w:val="single" w:sz="6" w:space="0" w:color="auto"/>
              <w:right w:val="single" w:sz="6" w:space="0" w:color="auto"/>
            </w:tcBorders>
          </w:tcPr>
          <w:p w14:paraId="211BAE90"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State-led early learning and childcare capital programme launched.  </w:t>
            </w:r>
          </w:p>
        </w:tc>
      </w:tr>
      <w:tr w:rsidR="00FD0D5F" w14:paraId="193FFB12" w14:textId="77777777" w:rsidTr="00FD0D5F">
        <w:tc>
          <w:tcPr>
            <w:tcW w:w="1666" w:type="pct"/>
            <w:tcBorders>
              <w:top w:val="single" w:sz="6" w:space="0" w:color="auto"/>
              <w:left w:val="single" w:sz="6" w:space="0" w:color="auto"/>
              <w:bottom w:val="single" w:sz="6" w:space="0" w:color="auto"/>
              <w:right w:val="single" w:sz="6" w:space="0" w:color="auto"/>
            </w:tcBorders>
          </w:tcPr>
          <w:p w14:paraId="521D4938" w14:textId="499579D2"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We will continue to grow State involvement and investment in the sector, while working in partnership with private providers, recognising this is an important element of supply.</w:t>
            </w:r>
          </w:p>
        </w:tc>
        <w:tc>
          <w:tcPr>
            <w:tcW w:w="1667" w:type="pct"/>
            <w:tcBorders>
              <w:top w:val="single" w:sz="6" w:space="0" w:color="auto"/>
              <w:left w:val="single" w:sz="6" w:space="0" w:color="auto"/>
              <w:bottom w:val="single" w:sz="6" w:space="0" w:color="auto"/>
              <w:right w:val="single" w:sz="6" w:space="0" w:color="auto"/>
            </w:tcBorders>
          </w:tcPr>
          <w:p w14:paraId="13BDBC7E"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The original allocation for ELC and SAC increased from €1.109bn in 2024 to €1.375bn in 2025. The allocation for 2026 will be €1.526bn. In addition, €24.8m was provided for BOTP and IPAS in 2024, €10.6m in 2025 and €11m in 2026.</w:t>
            </w:r>
          </w:p>
          <w:p w14:paraId="488ED41E" w14:textId="03B361DB"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br/>
              <w:t xml:space="preserve">Over the same period, the capital allocation increased from €20m to €30m and will be €45m in 2026.  </w:t>
            </w:r>
          </w:p>
        </w:tc>
        <w:tc>
          <w:tcPr>
            <w:tcW w:w="1667" w:type="pct"/>
            <w:tcBorders>
              <w:top w:val="single" w:sz="6" w:space="0" w:color="auto"/>
              <w:left w:val="single" w:sz="6" w:space="0" w:color="auto"/>
              <w:bottom w:val="single" w:sz="6" w:space="0" w:color="auto"/>
              <w:right w:val="single" w:sz="6" w:space="0" w:color="auto"/>
            </w:tcBorders>
          </w:tcPr>
          <w:p w14:paraId="2A6C5685"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4416EABE" w14:textId="77777777" w:rsidTr="00FD0D5F">
        <w:tc>
          <w:tcPr>
            <w:tcW w:w="1666" w:type="pct"/>
            <w:tcBorders>
              <w:top w:val="single" w:sz="6" w:space="0" w:color="auto"/>
              <w:left w:val="single" w:sz="6" w:space="0" w:color="auto"/>
              <w:bottom w:val="single" w:sz="6" w:space="0" w:color="auto"/>
              <w:right w:val="single" w:sz="6" w:space="0" w:color="auto"/>
            </w:tcBorders>
          </w:tcPr>
          <w:p w14:paraId="468F9158"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Progressively reduce the cost of childcare to €200 per month per child through the National Childcare Scheme and explore options to cap costs for larger families.  </w:t>
            </w:r>
          </w:p>
        </w:tc>
        <w:tc>
          <w:tcPr>
            <w:tcW w:w="1667" w:type="pct"/>
            <w:tcBorders>
              <w:top w:val="single" w:sz="6" w:space="0" w:color="auto"/>
              <w:left w:val="single" w:sz="6" w:space="0" w:color="auto"/>
              <w:bottom w:val="single" w:sz="6" w:space="0" w:color="auto"/>
              <w:right w:val="single" w:sz="6" w:space="0" w:color="auto"/>
            </w:tcBorders>
          </w:tcPr>
          <w:p w14:paraId="0CC7B277" w14:textId="54470A68"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While initial steps have already been taken (e.g. fee caps in September 2025), Shaping the Future: Early Years Action Plan, Phase 1 reports </w:t>
            </w:r>
            <w:proofErr w:type="gramStart"/>
            <w:r>
              <w:rPr>
                <w:rFonts w:ascii="Tms Rmn" w:hAnsi="Tms Rmn" w:cs="Tms Rmn"/>
                <w:color w:val="000000"/>
                <w:kern w:val="0"/>
                <w:sz w:val="24"/>
                <w:szCs w:val="24"/>
              </w:rPr>
              <w:t>sets</w:t>
            </w:r>
            <w:proofErr w:type="gramEnd"/>
            <w:r>
              <w:rPr>
                <w:rFonts w:ascii="Tms Rmn" w:hAnsi="Tms Rmn" w:cs="Tms Rmn"/>
                <w:color w:val="000000"/>
                <w:kern w:val="0"/>
                <w:sz w:val="24"/>
                <w:szCs w:val="24"/>
              </w:rPr>
              <w:t xml:space="preserve"> out actions to be undertaken in 2026. Phase 1 actions include a further reduction in fees paid by parents through lowering of fee caps for Core Funding Partner Services, as well as a reduction in fees for lower-income families through the National Childcare Scheme, to ensure those with incomes below the relative income poverty line receive the maximum subsidies. </w:t>
            </w:r>
            <w:r>
              <w:rPr>
                <w:rFonts w:ascii="Tms Rmn" w:hAnsi="Tms Rmn" w:cs="Tms Rmn"/>
                <w:color w:val="000000"/>
                <w:kern w:val="0"/>
                <w:sz w:val="24"/>
                <w:szCs w:val="24"/>
              </w:rPr>
              <w:br/>
            </w:r>
            <w:r>
              <w:rPr>
                <w:rFonts w:ascii="Tms Rmn" w:hAnsi="Tms Rmn" w:cs="Tms Rmn"/>
                <w:color w:val="000000"/>
                <w:kern w:val="0"/>
                <w:sz w:val="24"/>
                <w:szCs w:val="24"/>
              </w:rPr>
              <w:br/>
              <w:t>Funding has been secured in Budget 2026 to reduce fees for families by broadening the thresholds for income-assessed subsidies under National Childcare Scheme. The lower income threshold will be increased from €26,000 to €34,000 and the upper</w:t>
            </w:r>
            <w:r>
              <w:rPr>
                <w:rFonts w:ascii="Tms Rmn" w:hAnsi="Tms Rmn" w:cs="Tms Rmn"/>
                <w:color w:val="000000"/>
                <w:kern w:val="0"/>
                <w:sz w:val="24"/>
                <w:szCs w:val="24"/>
              </w:rPr>
              <w:t xml:space="preserve"> </w:t>
            </w:r>
            <w:r>
              <w:rPr>
                <w:rFonts w:ascii="Tms Rmn" w:hAnsi="Tms Rmn" w:cs="Tms Rmn"/>
                <w:color w:val="000000"/>
                <w:kern w:val="0"/>
                <w:sz w:val="24"/>
                <w:szCs w:val="24"/>
              </w:rPr>
              <w:t>threshold w</w:t>
            </w:r>
            <w:r>
              <w:rPr>
                <w:rFonts w:ascii="Tms Rmn" w:hAnsi="Tms Rmn" w:cs="Tms Rmn"/>
                <w:color w:val="000000"/>
                <w:kern w:val="0"/>
                <w:sz w:val="24"/>
                <w:szCs w:val="24"/>
              </w:rPr>
              <w:t>i</w:t>
            </w:r>
            <w:r>
              <w:rPr>
                <w:rFonts w:ascii="Tms Rmn" w:hAnsi="Tms Rmn" w:cs="Tms Rmn"/>
                <w:color w:val="000000"/>
                <w:kern w:val="0"/>
                <w:sz w:val="24"/>
                <w:szCs w:val="24"/>
              </w:rPr>
              <w:t xml:space="preserve">ll be increased from €60,000 to €68,000. The </w:t>
            </w:r>
            <w:r>
              <w:rPr>
                <w:rFonts w:ascii="Tms Rmn" w:hAnsi="Tms Rmn" w:cs="Tms Rmn"/>
                <w:color w:val="000000"/>
                <w:kern w:val="0"/>
                <w:sz w:val="24"/>
                <w:szCs w:val="24"/>
              </w:rPr>
              <w:br/>
              <w:t xml:space="preserve">multiple child deductions will also be increased from €4,300 to €5,500 and from €8,600 to €11,000 respectively. Importantly, all families below the current relative income poverty line will receive the maximum income assessed subsidy upon introduction of the change. </w:t>
            </w:r>
            <w:r>
              <w:rPr>
                <w:rFonts w:ascii="Tms Rmn" w:hAnsi="Tms Rmn" w:cs="Tms Rmn"/>
                <w:color w:val="000000"/>
                <w:kern w:val="0"/>
                <w:sz w:val="24"/>
                <w:szCs w:val="24"/>
              </w:rPr>
              <w:br/>
            </w:r>
            <w:r>
              <w:rPr>
                <w:rFonts w:ascii="Tms Rmn" w:hAnsi="Tms Rmn" w:cs="Tms Rmn"/>
                <w:color w:val="000000"/>
                <w:kern w:val="0"/>
                <w:sz w:val="24"/>
                <w:szCs w:val="24"/>
              </w:rPr>
              <w:br/>
              <w:t xml:space="preserve">Phase 2 of the Action Plan will be published later in 2026 following a broad consultation process. </w:t>
            </w:r>
          </w:p>
        </w:tc>
        <w:tc>
          <w:tcPr>
            <w:tcW w:w="1667" w:type="pct"/>
            <w:tcBorders>
              <w:top w:val="single" w:sz="6" w:space="0" w:color="auto"/>
              <w:left w:val="single" w:sz="6" w:space="0" w:color="auto"/>
              <w:bottom w:val="single" w:sz="6" w:space="0" w:color="auto"/>
              <w:right w:val="single" w:sz="6" w:space="0" w:color="auto"/>
            </w:tcBorders>
          </w:tcPr>
          <w:p w14:paraId="64163C5F"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br/>
            </w:r>
            <w:r>
              <w:rPr>
                <w:rFonts w:ascii="Tms Rmn" w:hAnsi="Tms Rmn" w:cs="Tms Rmn"/>
                <w:color w:val="000000"/>
                <w:kern w:val="0"/>
                <w:sz w:val="24"/>
                <w:szCs w:val="24"/>
              </w:rPr>
              <w:br/>
              <w:t xml:space="preserve">Phase 2 of Shaping the Future will be published in 2026.  It will include a road map on how to achieve the Programme for Government commitment of reducing parental fees to a maximum of €200 per month over the lifetime of this Government. </w:t>
            </w:r>
          </w:p>
        </w:tc>
      </w:tr>
      <w:tr w:rsidR="00FD0D5F" w14:paraId="3AB38981" w14:textId="77777777" w:rsidTr="00FD0D5F">
        <w:tc>
          <w:tcPr>
            <w:tcW w:w="1666" w:type="pct"/>
            <w:tcBorders>
              <w:top w:val="single" w:sz="6" w:space="0" w:color="auto"/>
              <w:left w:val="single" w:sz="6" w:space="0" w:color="auto"/>
              <w:bottom w:val="single" w:sz="6" w:space="0" w:color="auto"/>
              <w:right w:val="single" w:sz="6" w:space="0" w:color="auto"/>
            </w:tcBorders>
          </w:tcPr>
          <w:p w14:paraId="3E3859E2" w14:textId="2A4B1E2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Ensure childcare providers’ fees are open, transparent and equitable and readily available to parents.</w:t>
            </w:r>
          </w:p>
        </w:tc>
        <w:tc>
          <w:tcPr>
            <w:tcW w:w="1667" w:type="pct"/>
            <w:tcBorders>
              <w:top w:val="single" w:sz="6" w:space="0" w:color="auto"/>
              <w:left w:val="single" w:sz="6" w:space="0" w:color="auto"/>
              <w:bottom w:val="single" w:sz="6" w:space="0" w:color="auto"/>
              <w:right w:val="single" w:sz="6" w:space="0" w:color="auto"/>
            </w:tcBorders>
          </w:tcPr>
          <w:p w14:paraId="12DD0B4C" w14:textId="077CF029"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In July 2025, the Department commenced a Core Funding Fee Table Approval process, wherein City/County Childcare Committees reviewed the 2025/2026 fee tables of services that applied to the Fee Increase Assessment process in programme year 2024/2025.</w:t>
            </w:r>
            <w:r>
              <w:rPr>
                <w:rFonts w:ascii="Tms Rmn" w:hAnsi="Tms Rmn" w:cs="Tms Rmn"/>
                <w:color w:val="000000"/>
                <w:kern w:val="0"/>
                <w:sz w:val="24"/>
                <w:szCs w:val="24"/>
              </w:rPr>
              <w:br/>
            </w:r>
            <w:r>
              <w:rPr>
                <w:rFonts w:ascii="Tms Rmn" w:hAnsi="Tms Rmn" w:cs="Tms Rmn"/>
                <w:color w:val="000000"/>
                <w:kern w:val="0"/>
                <w:sz w:val="24"/>
                <w:szCs w:val="24"/>
              </w:rPr>
              <w:br/>
              <w:t xml:space="preserve">Accompanied by new fee table rules in programme year 2025/2026 and a fee table guideline document, this exercise promotes compliance with and understanding of scheme rules among Partner Services, as well as transparency for parents through simplification and standardisation of fee table data.  </w:t>
            </w:r>
          </w:p>
        </w:tc>
        <w:tc>
          <w:tcPr>
            <w:tcW w:w="1667" w:type="pct"/>
            <w:tcBorders>
              <w:top w:val="single" w:sz="6" w:space="0" w:color="auto"/>
              <w:left w:val="single" w:sz="6" w:space="0" w:color="auto"/>
              <w:bottom w:val="single" w:sz="6" w:space="0" w:color="auto"/>
              <w:right w:val="single" w:sz="6" w:space="0" w:color="auto"/>
            </w:tcBorders>
          </w:tcPr>
          <w:p w14:paraId="45070E11"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64CB604F" w14:textId="77777777" w:rsidTr="00FD0D5F">
        <w:tc>
          <w:tcPr>
            <w:tcW w:w="1666" w:type="pct"/>
            <w:tcBorders>
              <w:top w:val="single" w:sz="6" w:space="0" w:color="auto"/>
              <w:left w:val="single" w:sz="6" w:space="0" w:color="auto"/>
              <w:bottom w:val="single" w:sz="6" w:space="0" w:color="auto"/>
              <w:right w:val="single" w:sz="6" w:space="0" w:color="auto"/>
            </w:tcBorders>
          </w:tcPr>
          <w:p w14:paraId="14AEDFD9" w14:textId="178E256A"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Review and increase core funding, ensuring the fee cap is maintained and that the model is open, transparent and equitable, and that early </w:t>
            </w:r>
            <w:proofErr w:type="gramStart"/>
            <w:r>
              <w:rPr>
                <w:rFonts w:ascii="Tms Rmn" w:hAnsi="Tms Rmn" w:cs="Tms Rmn"/>
                <w:color w:val="000000"/>
                <w:kern w:val="0"/>
                <w:sz w:val="24"/>
                <w:szCs w:val="24"/>
              </w:rPr>
              <w:t>years</w:t>
            </w:r>
            <w:proofErr w:type="gramEnd"/>
            <w:r>
              <w:rPr>
                <w:rFonts w:ascii="Tms Rmn" w:hAnsi="Tms Rmn" w:cs="Tms Rmn"/>
                <w:color w:val="000000"/>
                <w:kern w:val="0"/>
                <w:sz w:val="24"/>
                <w:szCs w:val="24"/>
              </w:rPr>
              <w:t xml:space="preserve"> educators in the private sector benefit from Employment Regulation Orders.</w:t>
            </w:r>
          </w:p>
        </w:tc>
        <w:tc>
          <w:tcPr>
            <w:tcW w:w="1667" w:type="pct"/>
            <w:tcBorders>
              <w:top w:val="single" w:sz="6" w:space="0" w:color="auto"/>
              <w:left w:val="single" w:sz="6" w:space="0" w:color="auto"/>
              <w:bottom w:val="single" w:sz="6" w:space="0" w:color="auto"/>
              <w:right w:val="single" w:sz="6" w:space="0" w:color="auto"/>
            </w:tcBorders>
          </w:tcPr>
          <w:p w14:paraId="13CE5456" w14:textId="314AB09E"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allocation for year 5 of Core Funding (September 2026-August 2027) will be €482 million). This represents a 23% increase in the Core Funding allocation for the current programme year (September 2025-August 2026) of €392 million. </w:t>
            </w:r>
            <w:r>
              <w:rPr>
                <w:rFonts w:ascii="Tms Rmn" w:hAnsi="Tms Rmn" w:cs="Tms Rmn"/>
                <w:color w:val="000000"/>
                <w:kern w:val="0"/>
                <w:sz w:val="24"/>
                <w:szCs w:val="24"/>
              </w:rPr>
              <w:br/>
            </w:r>
            <w:r>
              <w:rPr>
                <w:rFonts w:ascii="Tms Rmn" w:hAnsi="Tms Rmn" w:cs="Tms Rmn"/>
                <w:color w:val="000000"/>
                <w:kern w:val="0"/>
                <w:sz w:val="24"/>
                <w:szCs w:val="24"/>
              </w:rPr>
              <w:br/>
              <w:t xml:space="preserve">For programme year 2025/2026, the fee cap values have been lowered and will now apply to all Core Funding Partner Services, having been introduced for new Partner Services for the 2024/25 programme year. The fee cap values will be lowered again for the 2025/26 programme year. </w:t>
            </w:r>
            <w:r>
              <w:rPr>
                <w:rFonts w:ascii="Tms Rmn" w:hAnsi="Tms Rmn" w:cs="Tms Rmn"/>
                <w:color w:val="000000"/>
                <w:kern w:val="0"/>
                <w:sz w:val="24"/>
                <w:szCs w:val="24"/>
              </w:rPr>
              <w:br/>
            </w:r>
            <w:r>
              <w:rPr>
                <w:rFonts w:ascii="Tms Rmn" w:hAnsi="Tms Rmn" w:cs="Tms Rmn"/>
                <w:color w:val="000000"/>
                <w:kern w:val="0"/>
                <w:sz w:val="24"/>
                <w:szCs w:val="24"/>
              </w:rPr>
              <w:br/>
              <w:t>An evaluation of the</w:t>
            </w:r>
            <w:r>
              <w:rPr>
                <w:rFonts w:ascii="Tms Rmn" w:hAnsi="Tms Rmn" w:cs="Tms Rmn"/>
                <w:color w:val="000000"/>
                <w:kern w:val="0"/>
                <w:sz w:val="24"/>
                <w:szCs w:val="24"/>
              </w:rPr>
              <w:t xml:space="preserve"> </w:t>
            </w:r>
            <w:r>
              <w:rPr>
                <w:rFonts w:ascii="Tms Rmn" w:hAnsi="Tms Rmn" w:cs="Tms Rmn"/>
                <w:color w:val="000000"/>
                <w:kern w:val="0"/>
                <w:sz w:val="24"/>
                <w:szCs w:val="24"/>
              </w:rPr>
              <w:t>first year</w:t>
            </w:r>
            <w:r>
              <w:rPr>
                <w:rFonts w:ascii="Tms Rmn" w:hAnsi="Tms Rmn" w:cs="Tms Rmn"/>
                <w:color w:val="000000"/>
                <w:kern w:val="0"/>
                <w:sz w:val="24"/>
                <w:szCs w:val="24"/>
              </w:rPr>
              <w:t xml:space="preserve"> </w:t>
            </w:r>
            <w:r>
              <w:rPr>
                <w:rFonts w:ascii="Tms Rmn" w:hAnsi="Tms Rmn" w:cs="Tms Rmn"/>
                <w:color w:val="000000"/>
                <w:kern w:val="0"/>
                <w:sz w:val="24"/>
                <w:szCs w:val="24"/>
              </w:rPr>
              <w:t>of Core Funding and the development of an evaluation framework for Core Funding is currently underway. This project will examine the early implementation of Core Funding and make recommendations for future evaluations of the grant supporting efficient and expedient reviews of subsequent years of the scheme.</w:t>
            </w:r>
            <w:r>
              <w:rPr>
                <w:rFonts w:ascii="Tms Rmn" w:hAnsi="Tms Rmn" w:cs="Tms Rmn"/>
                <w:color w:val="000000"/>
                <w:kern w:val="0"/>
                <w:sz w:val="24"/>
                <w:szCs w:val="24"/>
              </w:rPr>
              <w:br/>
            </w:r>
            <w:r>
              <w:rPr>
                <w:rFonts w:ascii="Tms Rmn" w:hAnsi="Tms Rmn" w:cs="Tms Rmn"/>
                <w:color w:val="000000"/>
                <w:kern w:val="0"/>
                <w:sz w:val="24"/>
                <w:szCs w:val="24"/>
              </w:rPr>
              <w:br/>
              <w:t xml:space="preserve">Outcomes from the independent Early Years Joint Labour Committee (JLC) process, including new Employment Regulation Orders (EROs), are supported by the Government through Core Funding. Budget 2025 secured an additional €45 million for programme year 2025/26, ringfenced specifically to support employers to meet </w:t>
            </w:r>
            <w:r>
              <w:rPr>
                <w:rFonts w:ascii="Tms Rmn" w:hAnsi="Tms Rmn" w:cs="Tms Rmn"/>
                <w:color w:val="000000"/>
                <w:kern w:val="0"/>
                <w:sz w:val="24"/>
                <w:szCs w:val="24"/>
              </w:rPr>
              <w:lastRenderedPageBreak/>
              <w:t xml:space="preserve">the costs of further increases to the minimum rates of pay in the sector, contingent on the establishment of updated EROs by the JLC.  </w:t>
            </w:r>
          </w:p>
        </w:tc>
        <w:tc>
          <w:tcPr>
            <w:tcW w:w="1667" w:type="pct"/>
            <w:tcBorders>
              <w:top w:val="single" w:sz="6" w:space="0" w:color="auto"/>
              <w:left w:val="single" w:sz="6" w:space="0" w:color="auto"/>
              <w:bottom w:val="single" w:sz="6" w:space="0" w:color="auto"/>
              <w:right w:val="single" w:sz="6" w:space="0" w:color="auto"/>
            </w:tcBorders>
          </w:tcPr>
          <w:p w14:paraId="6D862C2C"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 </w:t>
            </w:r>
          </w:p>
          <w:p w14:paraId="4F599862" w14:textId="77777777" w:rsidR="00FD0D5F" w:rsidRDefault="00FD0D5F">
            <w:pPr>
              <w:keepNext/>
              <w:keepLines/>
              <w:autoSpaceDE w:val="0"/>
              <w:autoSpaceDN w:val="0"/>
              <w:adjustRightInd w:val="0"/>
              <w:spacing w:before="240" w:after="0" w:line="240" w:lineRule="auto"/>
              <w:ind w:left="15"/>
              <w:rPr>
                <w:rFonts w:ascii="Tms Rmn" w:hAnsi="Tms Rmn" w:cs="Tms Rmn"/>
                <w:color w:val="000000"/>
                <w:kern w:val="0"/>
                <w:sz w:val="24"/>
                <w:szCs w:val="24"/>
              </w:rPr>
            </w:pPr>
            <w:r>
              <w:rPr>
                <w:rFonts w:ascii="Tms Rmn" w:hAnsi="Tms Rmn" w:cs="Tms Rmn"/>
                <w:color w:val="000000"/>
                <w:kern w:val="0"/>
                <w:sz w:val="24"/>
                <w:szCs w:val="24"/>
              </w:rPr>
              <w:t>Budget 2026 secured a further additional €45 million for programme year 2026/27, again ringfenced specifically to support employers to meet the costs of further possible increases to the minimum rates of pay dependant on future JLC negotiations.</w:t>
            </w:r>
          </w:p>
          <w:p w14:paraId="3B37BFF1" w14:textId="77777777" w:rsidR="00FD0D5F" w:rsidRDefault="00FD0D5F">
            <w:pPr>
              <w:keepNext/>
              <w:keepLines/>
              <w:autoSpaceDE w:val="0"/>
              <w:autoSpaceDN w:val="0"/>
              <w:adjustRightInd w:val="0"/>
              <w:spacing w:before="240"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r>
      <w:tr w:rsidR="00FD0D5F" w14:paraId="25D9CC7E" w14:textId="77777777" w:rsidTr="00FD0D5F">
        <w:tc>
          <w:tcPr>
            <w:tcW w:w="1666" w:type="pct"/>
            <w:tcBorders>
              <w:top w:val="single" w:sz="6" w:space="0" w:color="auto"/>
              <w:left w:val="single" w:sz="6" w:space="0" w:color="auto"/>
              <w:bottom w:val="single" w:sz="6" w:space="0" w:color="auto"/>
              <w:right w:val="single" w:sz="6" w:space="0" w:color="auto"/>
            </w:tcBorders>
          </w:tcPr>
          <w:p w14:paraId="693A95C8"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Reduce the administrative burden on providers.  </w:t>
            </w:r>
          </w:p>
        </w:tc>
        <w:tc>
          <w:tcPr>
            <w:tcW w:w="1667" w:type="pct"/>
            <w:tcBorders>
              <w:top w:val="single" w:sz="6" w:space="0" w:color="auto"/>
              <w:left w:val="single" w:sz="6" w:space="0" w:color="auto"/>
              <w:bottom w:val="single" w:sz="6" w:space="0" w:color="auto"/>
              <w:right w:val="single" w:sz="6" w:space="0" w:color="auto"/>
            </w:tcBorders>
          </w:tcPr>
          <w:p w14:paraId="079106C1" w14:textId="53834CD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Simplify and Support – the Action plan for simplification was published on the 17 December along with two </w:t>
            </w:r>
            <w:proofErr w:type="spellStart"/>
            <w:r>
              <w:rPr>
                <w:rFonts w:ascii="Tms Rmn" w:hAnsi="Tms Rmn" w:cs="Tms Rmn"/>
                <w:color w:val="000000"/>
                <w:kern w:val="0"/>
                <w:sz w:val="24"/>
                <w:szCs w:val="24"/>
              </w:rPr>
              <w:t>Indecon</w:t>
            </w:r>
            <w:proofErr w:type="spellEnd"/>
            <w:r>
              <w:rPr>
                <w:rFonts w:ascii="Tms Rmn" w:hAnsi="Tms Rmn" w:cs="Tms Rmn"/>
                <w:color w:val="000000"/>
                <w:kern w:val="0"/>
                <w:sz w:val="24"/>
                <w:szCs w:val="24"/>
              </w:rPr>
              <w:t xml:space="preserve"> Reports that informed the Action Plan - a report of the review of the </w:t>
            </w:r>
            <w:proofErr w:type="gramStart"/>
            <w:r>
              <w:rPr>
                <w:rFonts w:ascii="Tms Rmn" w:hAnsi="Tms Rmn" w:cs="Tms Rmn"/>
                <w:color w:val="000000"/>
                <w:kern w:val="0"/>
                <w:sz w:val="24"/>
                <w:szCs w:val="24"/>
              </w:rPr>
              <w:t>end to end</w:t>
            </w:r>
            <w:proofErr w:type="gramEnd"/>
            <w:r>
              <w:rPr>
                <w:rFonts w:ascii="Tms Rmn" w:hAnsi="Tms Rmn" w:cs="Tms Rmn"/>
                <w:color w:val="000000"/>
                <w:kern w:val="0"/>
                <w:sz w:val="24"/>
                <w:szCs w:val="24"/>
              </w:rPr>
              <w:t xml:space="preserve"> processes linked to the ELC and SAC programmes and schemes and a report of the stakeholder consultations process.</w:t>
            </w:r>
          </w:p>
        </w:tc>
        <w:tc>
          <w:tcPr>
            <w:tcW w:w="1667" w:type="pct"/>
            <w:tcBorders>
              <w:top w:val="single" w:sz="6" w:space="0" w:color="auto"/>
              <w:left w:val="single" w:sz="6" w:space="0" w:color="auto"/>
              <w:bottom w:val="single" w:sz="6" w:space="0" w:color="auto"/>
              <w:right w:val="single" w:sz="6" w:space="0" w:color="auto"/>
            </w:tcBorders>
          </w:tcPr>
          <w:p w14:paraId="61BCDF92"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73A1E757" w14:textId="77777777" w:rsidTr="00FD0D5F">
        <w:tc>
          <w:tcPr>
            <w:tcW w:w="1666" w:type="pct"/>
            <w:tcBorders>
              <w:top w:val="single" w:sz="6" w:space="0" w:color="auto"/>
              <w:left w:val="single" w:sz="6" w:space="0" w:color="auto"/>
              <w:bottom w:val="single" w:sz="6" w:space="0" w:color="auto"/>
              <w:right w:val="single" w:sz="6" w:space="0" w:color="auto"/>
            </w:tcBorders>
          </w:tcPr>
          <w:p w14:paraId="2F86B931" w14:textId="24E1C90C"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Provide capital investment to build or purchase state-owned childcare facilities, to create additional capacity in areas where unmet need exists.</w:t>
            </w:r>
          </w:p>
        </w:tc>
        <w:tc>
          <w:tcPr>
            <w:tcW w:w="1667" w:type="pct"/>
            <w:tcBorders>
              <w:top w:val="single" w:sz="6" w:space="0" w:color="auto"/>
              <w:left w:val="single" w:sz="6" w:space="0" w:color="auto"/>
              <w:bottom w:val="single" w:sz="6" w:space="0" w:color="auto"/>
              <w:right w:val="single" w:sz="6" w:space="0" w:color="auto"/>
            </w:tcBorders>
          </w:tcPr>
          <w:p w14:paraId="5E7B6836"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NDP allocation secured for 2026-30. Strategic Assessment and Preliminary Business Case finalised.   </w:t>
            </w:r>
          </w:p>
        </w:tc>
        <w:tc>
          <w:tcPr>
            <w:tcW w:w="1667" w:type="pct"/>
            <w:tcBorders>
              <w:top w:val="single" w:sz="6" w:space="0" w:color="auto"/>
              <w:left w:val="single" w:sz="6" w:space="0" w:color="auto"/>
              <w:bottom w:val="single" w:sz="6" w:space="0" w:color="auto"/>
              <w:right w:val="single" w:sz="6" w:space="0" w:color="auto"/>
            </w:tcBorders>
          </w:tcPr>
          <w:p w14:paraId="3F59D089"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State-led early learning and childcare capital programme launched. The Department is assessing sites and buildings which align with the goals of the programme.  </w:t>
            </w:r>
          </w:p>
        </w:tc>
      </w:tr>
      <w:tr w:rsidR="00FD0D5F" w14:paraId="33737B66" w14:textId="77777777" w:rsidTr="00FD0D5F">
        <w:tc>
          <w:tcPr>
            <w:tcW w:w="1666" w:type="pct"/>
            <w:tcBorders>
              <w:top w:val="single" w:sz="6" w:space="0" w:color="auto"/>
              <w:left w:val="single" w:sz="6" w:space="0" w:color="auto"/>
              <w:bottom w:val="single" w:sz="6" w:space="0" w:color="auto"/>
              <w:right w:val="single" w:sz="6" w:space="0" w:color="auto"/>
            </w:tcBorders>
          </w:tcPr>
          <w:p w14:paraId="2534F110" w14:textId="7DF4B16C"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Plan the development of State-led facilities in tandem with the school building programme, including Irish-medium </w:t>
            </w:r>
            <w:proofErr w:type="spellStart"/>
            <w:r>
              <w:rPr>
                <w:rFonts w:ascii="Tms Rmn" w:hAnsi="Tms Rmn" w:cs="Tms Rmn"/>
                <w:color w:val="000000"/>
                <w:kern w:val="0"/>
                <w:sz w:val="24"/>
                <w:szCs w:val="24"/>
              </w:rPr>
              <w:t>naíonraí</w:t>
            </w:r>
            <w:proofErr w:type="spellEnd"/>
            <w:r>
              <w:rPr>
                <w:rFonts w:ascii="Tms Rmn" w:hAnsi="Tms Rmn" w:cs="Tms Rmn"/>
                <w:color w:val="000000"/>
                <w:kern w:val="0"/>
                <w:sz w:val="24"/>
                <w:szCs w:val="24"/>
              </w:rPr>
              <w:t>.</w:t>
            </w:r>
          </w:p>
        </w:tc>
        <w:tc>
          <w:tcPr>
            <w:tcW w:w="1667" w:type="pct"/>
            <w:tcBorders>
              <w:top w:val="single" w:sz="6" w:space="0" w:color="auto"/>
              <w:left w:val="single" w:sz="6" w:space="0" w:color="auto"/>
              <w:bottom w:val="single" w:sz="6" w:space="0" w:color="auto"/>
              <w:right w:val="single" w:sz="6" w:space="0" w:color="auto"/>
            </w:tcBorders>
          </w:tcPr>
          <w:p w14:paraId="7B10C169"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Currently 22% ELC and SAC services delivered on school sites. Initial engagement with DEY about potential for collaborative approaches to development of new schools.  </w:t>
            </w:r>
          </w:p>
        </w:tc>
        <w:tc>
          <w:tcPr>
            <w:tcW w:w="1667" w:type="pct"/>
            <w:tcBorders>
              <w:top w:val="single" w:sz="6" w:space="0" w:color="auto"/>
              <w:left w:val="single" w:sz="6" w:space="0" w:color="auto"/>
              <w:bottom w:val="single" w:sz="6" w:space="0" w:color="auto"/>
              <w:right w:val="single" w:sz="6" w:space="0" w:color="auto"/>
            </w:tcBorders>
          </w:tcPr>
          <w:p w14:paraId="4CD8C7BD"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Continued engagement with DEY planned in 2026.  </w:t>
            </w:r>
          </w:p>
        </w:tc>
      </w:tr>
      <w:tr w:rsidR="00FD0D5F" w14:paraId="1F5BFD42" w14:textId="77777777" w:rsidTr="00FD0D5F">
        <w:tc>
          <w:tcPr>
            <w:tcW w:w="1666" w:type="pct"/>
            <w:tcBorders>
              <w:top w:val="single" w:sz="6" w:space="0" w:color="auto"/>
              <w:left w:val="single" w:sz="6" w:space="0" w:color="auto"/>
              <w:bottom w:val="single" w:sz="6" w:space="0" w:color="auto"/>
              <w:right w:val="single" w:sz="6" w:space="0" w:color="auto"/>
            </w:tcBorders>
          </w:tcPr>
          <w:p w14:paraId="7051B472" w14:textId="2DC0555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Work with schools to host before and after-school care, and examine start-up supports for groups involved in afterschool activities.</w:t>
            </w:r>
          </w:p>
        </w:tc>
        <w:tc>
          <w:tcPr>
            <w:tcW w:w="1667" w:type="pct"/>
            <w:tcBorders>
              <w:top w:val="single" w:sz="6" w:space="0" w:color="auto"/>
              <w:left w:val="single" w:sz="6" w:space="0" w:color="auto"/>
              <w:bottom w:val="single" w:sz="6" w:space="0" w:color="auto"/>
              <w:right w:val="single" w:sz="6" w:space="0" w:color="auto"/>
            </w:tcBorders>
          </w:tcPr>
          <w:p w14:paraId="098462B1"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22% ELC and SAC delivered on school sites. School Age Childcare. Enrolments in school-age childcare have increased by 76.8% between 2022 and 2025. As of end October 2025, 296 new school age childcare services were added to the </w:t>
            </w:r>
            <w:proofErr w:type="spellStart"/>
            <w:r>
              <w:rPr>
                <w:rFonts w:ascii="Tms Rmn" w:hAnsi="Tms Rmn" w:cs="Tms Rmn"/>
                <w:color w:val="000000"/>
                <w:kern w:val="0"/>
                <w:sz w:val="24"/>
                <w:szCs w:val="24"/>
              </w:rPr>
              <w:t>Tusla</w:t>
            </w:r>
            <w:proofErr w:type="spellEnd"/>
            <w:r>
              <w:rPr>
                <w:rFonts w:ascii="Tms Rmn" w:hAnsi="Tms Rmn" w:cs="Tms Rmn"/>
                <w:color w:val="000000"/>
                <w:kern w:val="0"/>
                <w:sz w:val="24"/>
                <w:szCs w:val="24"/>
              </w:rPr>
              <w:t xml:space="preserve"> register in 2025, leading to a net increase of 267 new school-age childcare services over the period January-October 2025 alone  </w:t>
            </w:r>
          </w:p>
        </w:tc>
        <w:tc>
          <w:tcPr>
            <w:tcW w:w="1667" w:type="pct"/>
            <w:tcBorders>
              <w:top w:val="single" w:sz="6" w:space="0" w:color="auto"/>
              <w:left w:val="single" w:sz="6" w:space="0" w:color="auto"/>
              <w:bottom w:val="single" w:sz="6" w:space="0" w:color="auto"/>
              <w:right w:val="single" w:sz="6" w:space="0" w:color="auto"/>
            </w:tcBorders>
          </w:tcPr>
          <w:p w14:paraId="36CADBB8"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Continued engagement with DEY planned in 2026.  </w:t>
            </w:r>
          </w:p>
        </w:tc>
      </w:tr>
      <w:tr w:rsidR="00FD0D5F" w14:paraId="7D41DC50" w14:textId="77777777" w:rsidTr="00FD0D5F">
        <w:tc>
          <w:tcPr>
            <w:tcW w:w="1666" w:type="pct"/>
            <w:tcBorders>
              <w:top w:val="single" w:sz="6" w:space="0" w:color="auto"/>
              <w:left w:val="single" w:sz="6" w:space="0" w:color="auto"/>
              <w:bottom w:val="single" w:sz="6" w:space="0" w:color="auto"/>
              <w:right w:val="single" w:sz="6" w:space="0" w:color="auto"/>
            </w:tcBorders>
          </w:tcPr>
          <w:p w14:paraId="270F9788" w14:textId="7A47AE9F"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Review the 2001 Childcare Facilities Guidelines for Planning Authorities to ensure childcare spaces are provided and put into use.</w:t>
            </w:r>
          </w:p>
        </w:tc>
        <w:tc>
          <w:tcPr>
            <w:tcW w:w="1667" w:type="pct"/>
            <w:tcBorders>
              <w:top w:val="single" w:sz="6" w:space="0" w:color="auto"/>
              <w:left w:val="single" w:sz="6" w:space="0" w:color="auto"/>
              <w:bottom w:val="single" w:sz="6" w:space="0" w:color="auto"/>
              <w:right w:val="single" w:sz="6" w:space="0" w:color="auto"/>
            </w:tcBorders>
          </w:tcPr>
          <w:p w14:paraId="1C350BFC"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Working group in place with DHLGH, DEY and nominees from CCMA. Initial feedback sought and more wide-ranging engagement planned.  </w:t>
            </w:r>
          </w:p>
        </w:tc>
        <w:tc>
          <w:tcPr>
            <w:tcW w:w="1667" w:type="pct"/>
            <w:tcBorders>
              <w:top w:val="single" w:sz="6" w:space="0" w:color="auto"/>
              <w:left w:val="single" w:sz="6" w:space="0" w:color="auto"/>
              <w:bottom w:val="single" w:sz="6" w:space="0" w:color="auto"/>
              <w:right w:val="single" w:sz="6" w:space="0" w:color="auto"/>
            </w:tcBorders>
          </w:tcPr>
          <w:p w14:paraId="3A197247"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Working Group to continue in place in 2026.  </w:t>
            </w:r>
          </w:p>
        </w:tc>
      </w:tr>
      <w:tr w:rsidR="00FD0D5F" w14:paraId="61FBF920" w14:textId="77777777" w:rsidTr="00FD0D5F">
        <w:tc>
          <w:tcPr>
            <w:tcW w:w="1666" w:type="pct"/>
            <w:tcBorders>
              <w:top w:val="single" w:sz="6" w:space="0" w:color="auto"/>
              <w:left w:val="single" w:sz="6" w:space="0" w:color="auto"/>
              <w:bottom w:val="single" w:sz="6" w:space="0" w:color="auto"/>
              <w:right w:val="single" w:sz="6" w:space="0" w:color="auto"/>
            </w:tcBorders>
          </w:tcPr>
          <w:p w14:paraId="62ADF70D" w14:textId="04EA9D0A"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Continue to implement Employment Regulation Orders to attract and retain early years educators.</w:t>
            </w:r>
          </w:p>
        </w:tc>
        <w:tc>
          <w:tcPr>
            <w:tcW w:w="1667" w:type="pct"/>
            <w:tcBorders>
              <w:top w:val="single" w:sz="6" w:space="0" w:color="auto"/>
              <w:left w:val="single" w:sz="6" w:space="0" w:color="auto"/>
              <w:bottom w:val="single" w:sz="6" w:space="0" w:color="auto"/>
              <w:right w:val="single" w:sz="6" w:space="0" w:color="auto"/>
            </w:tcBorders>
          </w:tcPr>
          <w:p w14:paraId="46EB8FA7" w14:textId="428A7195"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Through the Joint Labour Committee process, Employment Regulation Orders have been signed into law in September 2022, June 2024 and most recently in October 2025. The October 2025 Employment Regulation Orders provide for an average of 10% increase to minimum hourly rates of pay. It is estimated that 67% of those working in the sector saw their wages increase </w:t>
            </w:r>
            <w:proofErr w:type="gramStart"/>
            <w:r>
              <w:rPr>
                <w:rFonts w:ascii="Tms Rmn" w:hAnsi="Tms Rmn" w:cs="Tms Rmn"/>
                <w:color w:val="000000"/>
                <w:kern w:val="0"/>
                <w:sz w:val="24"/>
                <w:szCs w:val="24"/>
              </w:rPr>
              <w:t>as a result of</w:t>
            </w:r>
            <w:proofErr w:type="gramEnd"/>
            <w:r>
              <w:rPr>
                <w:rFonts w:ascii="Tms Rmn" w:hAnsi="Tms Rmn" w:cs="Tms Rmn"/>
                <w:color w:val="000000"/>
                <w:kern w:val="0"/>
                <w:sz w:val="24"/>
                <w:szCs w:val="24"/>
              </w:rPr>
              <w:t xml:space="preserve"> the new minimum pay rates. </w:t>
            </w:r>
            <w:r>
              <w:rPr>
                <w:rFonts w:ascii="Tms Rmn" w:hAnsi="Tms Rmn" w:cs="Tms Rmn"/>
                <w:color w:val="000000"/>
                <w:kern w:val="0"/>
                <w:sz w:val="24"/>
                <w:szCs w:val="24"/>
              </w:rPr>
              <w:br/>
              <w:t xml:space="preserve">The Government remains committed to ‘continue to implement Employment Regulation Orders to attract and retain early years </w:t>
            </w:r>
            <w:proofErr w:type="gramStart"/>
            <w:r>
              <w:rPr>
                <w:rFonts w:ascii="Tms Rmn" w:hAnsi="Tms Rmn" w:cs="Tms Rmn"/>
                <w:color w:val="000000"/>
                <w:kern w:val="0"/>
                <w:sz w:val="24"/>
                <w:szCs w:val="24"/>
              </w:rPr>
              <w:t>educators’</w:t>
            </w:r>
            <w:proofErr w:type="gramEnd"/>
            <w:r>
              <w:rPr>
                <w:rFonts w:ascii="Tms Rmn" w:hAnsi="Tms Rmn" w:cs="Tms Rmn"/>
                <w:color w:val="000000"/>
                <w:kern w:val="0"/>
                <w:sz w:val="24"/>
                <w:szCs w:val="24"/>
              </w:rPr>
              <w:t xml:space="preserve">. €15m has been specifically ringfenced from September 2026 (equivalent to €45m in a full programme year) to support a further future round of pay improvements negotiations through the JLC process.  </w:t>
            </w:r>
          </w:p>
        </w:tc>
        <w:tc>
          <w:tcPr>
            <w:tcW w:w="1667" w:type="pct"/>
            <w:tcBorders>
              <w:top w:val="single" w:sz="6" w:space="0" w:color="auto"/>
              <w:left w:val="single" w:sz="6" w:space="0" w:color="auto"/>
              <w:bottom w:val="single" w:sz="6" w:space="0" w:color="auto"/>
              <w:right w:val="single" w:sz="6" w:space="0" w:color="auto"/>
            </w:tcBorders>
          </w:tcPr>
          <w:p w14:paraId="55F2E304"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Activities are underway to inform the Joint Labour Committee process which makes recommendations to the Labour Court on Employment Regulation Orders.  A request from SIPTU for Sector data is currently being fulfilled.     </w:t>
            </w:r>
          </w:p>
        </w:tc>
      </w:tr>
      <w:tr w:rsidR="00FD0D5F" w14:paraId="118955FE" w14:textId="77777777" w:rsidTr="00FD0D5F">
        <w:tc>
          <w:tcPr>
            <w:tcW w:w="1666" w:type="pct"/>
            <w:tcBorders>
              <w:top w:val="single" w:sz="6" w:space="0" w:color="auto"/>
              <w:left w:val="single" w:sz="6" w:space="0" w:color="auto"/>
              <w:bottom w:val="single" w:sz="6" w:space="0" w:color="auto"/>
              <w:right w:val="single" w:sz="6" w:space="0" w:color="auto"/>
            </w:tcBorders>
          </w:tcPr>
          <w:p w14:paraId="1A913750" w14:textId="6B1E51AE"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Remove barriers in education and training for early years educators to broaden access to the profession.</w:t>
            </w:r>
          </w:p>
        </w:tc>
        <w:tc>
          <w:tcPr>
            <w:tcW w:w="1667" w:type="pct"/>
            <w:tcBorders>
              <w:top w:val="single" w:sz="6" w:space="0" w:color="auto"/>
              <w:left w:val="single" w:sz="6" w:space="0" w:color="auto"/>
              <w:bottom w:val="single" w:sz="6" w:space="0" w:color="auto"/>
              <w:right w:val="single" w:sz="6" w:space="0" w:color="auto"/>
            </w:tcBorders>
          </w:tcPr>
          <w:p w14:paraId="5003C71C" w14:textId="054F24E9"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To raise the profile of careers within the sector and further support the objective of developing a graduate-led workforce, the new Nurturing Skills Learner Fund was launched in December 2023. </w:t>
            </w:r>
            <w:r>
              <w:rPr>
                <w:rFonts w:ascii="Tms Rmn" w:hAnsi="Tms Rmn" w:cs="Tms Rmn"/>
                <w:color w:val="000000"/>
                <w:kern w:val="0"/>
                <w:sz w:val="24"/>
                <w:szCs w:val="24"/>
              </w:rPr>
              <w:br/>
            </w:r>
            <w:r>
              <w:rPr>
                <w:rFonts w:ascii="Tms Rmn" w:hAnsi="Tms Rmn" w:cs="Tms Rmn"/>
                <w:color w:val="000000"/>
                <w:kern w:val="0"/>
                <w:sz w:val="24"/>
                <w:szCs w:val="24"/>
              </w:rPr>
              <w:t>T</w:t>
            </w:r>
            <w:r>
              <w:rPr>
                <w:rFonts w:ascii="Tms Rmn" w:hAnsi="Tms Rmn" w:cs="Tms Rmn"/>
                <w:color w:val="000000"/>
                <w:kern w:val="0"/>
                <w:sz w:val="24"/>
                <w:szCs w:val="24"/>
              </w:rPr>
              <w:t xml:space="preserve">he Nurturing Skills Learner Fund covers up to 90% of the fees incurred by early years educators studying for Early Learning and Care qualifications at Level 7 and Level 8 that have been approved by the Qualifications Advisory Board, while continuing to work in the Early Learning and Care sector. To date, the Nurturing Skills Learner Fund has supported over 700 educators.  </w:t>
            </w:r>
          </w:p>
        </w:tc>
        <w:tc>
          <w:tcPr>
            <w:tcW w:w="1667" w:type="pct"/>
            <w:tcBorders>
              <w:top w:val="single" w:sz="6" w:space="0" w:color="auto"/>
              <w:left w:val="single" w:sz="6" w:space="0" w:color="auto"/>
              <w:bottom w:val="single" w:sz="6" w:space="0" w:color="auto"/>
              <w:right w:val="single" w:sz="6" w:space="0" w:color="auto"/>
            </w:tcBorders>
          </w:tcPr>
          <w:p w14:paraId="3BFA6F37"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Department and </w:t>
            </w:r>
            <w:proofErr w:type="spellStart"/>
            <w:r>
              <w:rPr>
                <w:rFonts w:ascii="Tms Rmn" w:hAnsi="Tms Rmn" w:cs="Tms Rmn"/>
                <w:color w:val="000000"/>
                <w:kern w:val="0"/>
                <w:sz w:val="24"/>
                <w:szCs w:val="24"/>
              </w:rPr>
              <w:t>Pobal</w:t>
            </w:r>
            <w:proofErr w:type="spellEnd"/>
            <w:r>
              <w:rPr>
                <w:rFonts w:ascii="Tms Rmn" w:hAnsi="Tms Rmn" w:cs="Tms Rmn"/>
                <w:color w:val="000000"/>
                <w:kern w:val="0"/>
                <w:sz w:val="24"/>
                <w:szCs w:val="24"/>
              </w:rPr>
              <w:t xml:space="preserve"> have been engaging in an onboarding process with the Higher Education Institutions </w:t>
            </w:r>
            <w:proofErr w:type="gramStart"/>
            <w:r>
              <w:rPr>
                <w:rFonts w:ascii="Tms Rmn" w:hAnsi="Tms Rmn" w:cs="Tms Rmn"/>
                <w:color w:val="000000"/>
                <w:kern w:val="0"/>
                <w:sz w:val="24"/>
                <w:szCs w:val="24"/>
              </w:rPr>
              <w:t>in order to</w:t>
            </w:r>
            <w:proofErr w:type="gramEnd"/>
            <w:r>
              <w:rPr>
                <w:rFonts w:ascii="Tms Rmn" w:hAnsi="Tms Rmn" w:cs="Tms Rmn"/>
                <w:color w:val="000000"/>
                <w:kern w:val="0"/>
                <w:sz w:val="24"/>
                <w:szCs w:val="24"/>
              </w:rPr>
              <w:t xml:space="preserve"> prepare for the launch of Nurturing Skills Learner Fund 2026 in March 2026.  </w:t>
            </w:r>
          </w:p>
        </w:tc>
      </w:tr>
      <w:tr w:rsidR="00FD0D5F" w14:paraId="7C15218F" w14:textId="77777777" w:rsidTr="00FD0D5F">
        <w:tc>
          <w:tcPr>
            <w:tcW w:w="1666" w:type="pct"/>
            <w:tcBorders>
              <w:top w:val="single" w:sz="6" w:space="0" w:color="auto"/>
              <w:left w:val="single" w:sz="6" w:space="0" w:color="auto"/>
              <w:bottom w:val="single" w:sz="6" w:space="0" w:color="auto"/>
              <w:right w:val="single" w:sz="6" w:space="0" w:color="auto"/>
            </w:tcBorders>
          </w:tcPr>
          <w:p w14:paraId="5CB4AFE9" w14:textId="3A4B63DD"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Introduce an ‘Earn and Learn’ apprenticeship model enabling childcare staff to gain qualifications and advance their careers.</w:t>
            </w:r>
          </w:p>
        </w:tc>
        <w:tc>
          <w:tcPr>
            <w:tcW w:w="1667" w:type="pct"/>
            <w:tcBorders>
              <w:top w:val="single" w:sz="6" w:space="0" w:color="auto"/>
              <w:left w:val="single" w:sz="6" w:space="0" w:color="auto"/>
              <w:bottom w:val="single" w:sz="6" w:space="0" w:color="auto"/>
              <w:right w:val="single" w:sz="6" w:space="0" w:color="auto"/>
            </w:tcBorders>
          </w:tcPr>
          <w:p w14:paraId="1ACD7828" w14:textId="7942E621"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Pillar 4 of Nurturing Skills includes an action to examine the development of a range of entry routes into the sector, including apprenticeships or other work-based learning, and access programmes in further education and higher education. Research on alternative entry routes to the sector, including apprenticeships, has been commissioned and a final report has been received. This will inform the next steps in the delivery of this action. </w:t>
            </w:r>
            <w:r>
              <w:rPr>
                <w:rFonts w:ascii="Tms Rmn" w:hAnsi="Tms Rmn" w:cs="Tms Rmn"/>
                <w:color w:val="000000"/>
                <w:kern w:val="0"/>
                <w:sz w:val="24"/>
                <w:szCs w:val="24"/>
              </w:rPr>
              <w:br/>
              <w:t xml:space="preserve">The establishment of a national apprenticeship is not solely a matter for the Department as the process, set out by the National Apprentice Office (NAO), requires the development of an apprenticeship to be carried out by the sector itself. The Department are aware of, and are participating in, conversations between the sector and the National Apprenticeship office.  </w:t>
            </w:r>
          </w:p>
        </w:tc>
        <w:tc>
          <w:tcPr>
            <w:tcW w:w="1667" w:type="pct"/>
            <w:tcBorders>
              <w:top w:val="single" w:sz="6" w:space="0" w:color="auto"/>
              <w:left w:val="single" w:sz="6" w:space="0" w:color="auto"/>
              <w:bottom w:val="single" w:sz="6" w:space="0" w:color="auto"/>
              <w:right w:val="single" w:sz="6" w:space="0" w:color="auto"/>
            </w:tcBorders>
          </w:tcPr>
          <w:p w14:paraId="57874955"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03B896B4" w14:textId="77777777" w:rsidTr="00FD0D5F">
        <w:tc>
          <w:tcPr>
            <w:tcW w:w="1666" w:type="pct"/>
            <w:tcBorders>
              <w:top w:val="single" w:sz="6" w:space="0" w:color="auto"/>
              <w:left w:val="single" w:sz="6" w:space="0" w:color="auto"/>
              <w:bottom w:val="single" w:sz="6" w:space="0" w:color="auto"/>
              <w:right w:val="single" w:sz="6" w:space="0" w:color="auto"/>
            </w:tcBorders>
          </w:tcPr>
          <w:p w14:paraId="51B5696D" w14:textId="0AED0EA3"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Examine the establishment of a professional register for childminders and early years educators, reflecting professionalisation of the sector.</w:t>
            </w:r>
          </w:p>
        </w:tc>
        <w:tc>
          <w:tcPr>
            <w:tcW w:w="1667" w:type="pct"/>
            <w:tcBorders>
              <w:top w:val="single" w:sz="6" w:space="0" w:color="auto"/>
              <w:left w:val="single" w:sz="6" w:space="0" w:color="auto"/>
              <w:bottom w:val="single" w:sz="6" w:space="0" w:color="auto"/>
              <w:right w:val="single" w:sz="6" w:space="0" w:color="auto"/>
            </w:tcBorders>
          </w:tcPr>
          <w:p w14:paraId="379A6BD1"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First 5 commits to move incrementally towards the regulation of the Early Learning and Care and School-Age Childcare profession, building on the establishment in 2020 of the Qualifications Advisory Board and the future creation of a workforce register. Nurturing Skills restates this commitment to move incrementally towards the regulation of the profession during the lifetime of Nurturing Skills.  </w:t>
            </w:r>
          </w:p>
        </w:tc>
        <w:tc>
          <w:tcPr>
            <w:tcW w:w="1667" w:type="pct"/>
            <w:tcBorders>
              <w:top w:val="single" w:sz="6" w:space="0" w:color="auto"/>
              <w:left w:val="single" w:sz="6" w:space="0" w:color="auto"/>
              <w:bottom w:val="single" w:sz="6" w:space="0" w:color="auto"/>
              <w:right w:val="single" w:sz="6" w:space="0" w:color="auto"/>
            </w:tcBorders>
          </w:tcPr>
          <w:p w14:paraId="3A26F603"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1DFA7787" w14:textId="77777777" w:rsidTr="00FD0D5F">
        <w:tc>
          <w:tcPr>
            <w:tcW w:w="1666" w:type="pct"/>
            <w:tcBorders>
              <w:top w:val="single" w:sz="6" w:space="0" w:color="auto"/>
              <w:left w:val="single" w:sz="6" w:space="0" w:color="auto"/>
              <w:bottom w:val="single" w:sz="6" w:space="0" w:color="auto"/>
              <w:right w:val="single" w:sz="6" w:space="0" w:color="auto"/>
            </w:tcBorders>
          </w:tcPr>
          <w:p w14:paraId="5B7A210D" w14:textId="54343546"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Deepen co-operation and shared learnings between early years education and the Department of Education Inspectorate.</w:t>
            </w:r>
          </w:p>
        </w:tc>
        <w:tc>
          <w:tcPr>
            <w:tcW w:w="1667" w:type="pct"/>
            <w:tcBorders>
              <w:top w:val="single" w:sz="6" w:space="0" w:color="auto"/>
              <w:left w:val="single" w:sz="6" w:space="0" w:color="auto"/>
              <w:bottom w:val="single" w:sz="6" w:space="0" w:color="auto"/>
              <w:right w:val="single" w:sz="6" w:space="0" w:color="auto"/>
            </w:tcBorders>
          </w:tcPr>
          <w:p w14:paraId="7752C942"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Engagement between the Department and the D/EY Inspectorate is regular and ongoing.  </w:t>
            </w:r>
          </w:p>
        </w:tc>
        <w:tc>
          <w:tcPr>
            <w:tcW w:w="1667" w:type="pct"/>
            <w:tcBorders>
              <w:top w:val="single" w:sz="6" w:space="0" w:color="auto"/>
              <w:left w:val="single" w:sz="6" w:space="0" w:color="auto"/>
              <w:bottom w:val="single" w:sz="6" w:space="0" w:color="auto"/>
              <w:right w:val="single" w:sz="6" w:space="0" w:color="auto"/>
            </w:tcBorders>
          </w:tcPr>
          <w:p w14:paraId="3DFFEB81"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Engagement between the Department and the D/EY Inspectorate is regular and ongoing.  </w:t>
            </w:r>
          </w:p>
        </w:tc>
      </w:tr>
      <w:tr w:rsidR="00FD0D5F" w14:paraId="2F6C656E" w14:textId="77777777" w:rsidTr="00FD0D5F">
        <w:tc>
          <w:tcPr>
            <w:tcW w:w="1666" w:type="pct"/>
            <w:tcBorders>
              <w:top w:val="single" w:sz="6" w:space="0" w:color="auto"/>
              <w:left w:val="single" w:sz="6" w:space="0" w:color="auto"/>
              <w:bottom w:val="single" w:sz="6" w:space="0" w:color="auto"/>
              <w:right w:val="single" w:sz="6" w:space="0" w:color="auto"/>
            </w:tcBorders>
          </w:tcPr>
          <w:p w14:paraId="2CC82A58" w14:textId="274557D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Examine and expand the Access and Inclusion Model (AIM) and make it available to younger children.</w:t>
            </w:r>
          </w:p>
        </w:tc>
        <w:tc>
          <w:tcPr>
            <w:tcW w:w="1667" w:type="pct"/>
            <w:tcBorders>
              <w:top w:val="single" w:sz="6" w:space="0" w:color="auto"/>
              <w:left w:val="single" w:sz="6" w:space="0" w:color="auto"/>
              <w:bottom w:val="single" w:sz="6" w:space="0" w:color="auto"/>
              <w:right w:val="single" w:sz="6" w:space="0" w:color="auto"/>
            </w:tcBorders>
          </w:tcPr>
          <w:p w14:paraId="160D4392" w14:textId="71EC979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An independent evaluation of AIM was published in January 2024. Based on the evaluation’s findings, AIM is now being extended on a phased basis as funding becomes available. Since September 2024, targeted AIM supports are available to ECCE-eligible children outside of ECCE hours—both during term time and in holiday periods.</w:t>
            </w:r>
            <w:r>
              <w:rPr>
                <w:rFonts w:ascii="Tms Rmn" w:hAnsi="Tms Rmn" w:cs="Tms Rmn"/>
                <w:color w:val="000000"/>
                <w:kern w:val="0"/>
                <w:sz w:val="24"/>
                <w:szCs w:val="24"/>
              </w:rPr>
              <w:br/>
              <w:t xml:space="preserve">The Department is assessing the policy implications and mechanisms required to extend AIM to children under three, recognising that their needs differ from those currently supported under the model. A tailored model is being considered to support this younger age group, which will require dedicated funding through the annual Budget process.  </w:t>
            </w:r>
          </w:p>
        </w:tc>
        <w:tc>
          <w:tcPr>
            <w:tcW w:w="1667" w:type="pct"/>
            <w:tcBorders>
              <w:top w:val="single" w:sz="6" w:space="0" w:color="auto"/>
              <w:left w:val="single" w:sz="6" w:space="0" w:color="auto"/>
              <w:bottom w:val="single" w:sz="6" w:space="0" w:color="auto"/>
              <w:right w:val="single" w:sz="6" w:space="0" w:color="auto"/>
            </w:tcBorders>
          </w:tcPr>
          <w:p w14:paraId="15E5E41A"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145AEE6B" w14:textId="77777777" w:rsidTr="00FD0D5F">
        <w:tc>
          <w:tcPr>
            <w:tcW w:w="1666" w:type="pct"/>
            <w:tcBorders>
              <w:top w:val="single" w:sz="6" w:space="0" w:color="auto"/>
              <w:left w:val="single" w:sz="6" w:space="0" w:color="auto"/>
              <w:bottom w:val="single" w:sz="6" w:space="0" w:color="auto"/>
              <w:right w:val="single" w:sz="6" w:space="0" w:color="auto"/>
            </w:tcBorders>
          </w:tcPr>
          <w:p w14:paraId="6C7BF856" w14:textId="391B6C42"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Continue to build up the Equal Start programme, ensuring children experiencing disadvantage can access and participate fully in early learning and childcare.</w:t>
            </w:r>
          </w:p>
        </w:tc>
        <w:tc>
          <w:tcPr>
            <w:tcW w:w="1667" w:type="pct"/>
            <w:tcBorders>
              <w:top w:val="single" w:sz="6" w:space="0" w:color="auto"/>
              <w:left w:val="single" w:sz="6" w:space="0" w:color="auto"/>
              <w:bottom w:val="single" w:sz="6" w:space="0" w:color="auto"/>
              <w:right w:val="single" w:sz="6" w:space="0" w:color="auto"/>
            </w:tcBorders>
          </w:tcPr>
          <w:p w14:paraId="6AF2F11A" w14:textId="41ECBD0F"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807 settings with an Equal Start priority designation, (serving 37,000 children - 4,700 from priority cohorts) identified as operating in a context of concentrated disadvantage, are in receipt of additional funding supports. These settings have been receiving funding for additional staff hours, that can be used to support engagement between the settings and families, as well as other child and family support services. </w:t>
            </w:r>
            <w:r>
              <w:rPr>
                <w:rFonts w:ascii="Tms Rmn" w:hAnsi="Tms Rmn" w:cs="Tms Rmn"/>
                <w:color w:val="000000"/>
                <w:kern w:val="0"/>
                <w:sz w:val="24"/>
                <w:szCs w:val="24"/>
              </w:rPr>
              <w:br/>
            </w:r>
            <w:r>
              <w:rPr>
                <w:rFonts w:ascii="Tms Rmn" w:hAnsi="Tms Rmn" w:cs="Tms Rmn"/>
                <w:color w:val="000000"/>
                <w:kern w:val="0"/>
                <w:sz w:val="24"/>
                <w:szCs w:val="24"/>
              </w:rPr>
              <w:br/>
              <w:t xml:space="preserve">Other achievements to date include: </w:t>
            </w:r>
            <w:r>
              <w:rPr>
                <w:rFonts w:ascii="Tms Rmn" w:hAnsi="Tms Rmn" w:cs="Tms Rmn"/>
                <w:color w:val="000000"/>
                <w:kern w:val="0"/>
                <w:sz w:val="24"/>
                <w:szCs w:val="24"/>
              </w:rPr>
              <w:br/>
            </w:r>
            <w:r>
              <w:rPr>
                <w:rFonts w:ascii="Tms Rmn" w:hAnsi="Tms Rmn" w:cs="Tms Rmn"/>
                <w:color w:val="000000"/>
                <w:kern w:val="0"/>
                <w:sz w:val="24"/>
                <w:szCs w:val="24"/>
              </w:rPr>
              <w:t xml:space="preserve">- </w:t>
            </w:r>
            <w:r>
              <w:rPr>
                <w:rFonts w:ascii="Tms Rmn" w:hAnsi="Tms Rmn" w:cs="Tms Rmn"/>
                <w:color w:val="000000"/>
                <w:kern w:val="0"/>
                <w:sz w:val="24"/>
                <w:szCs w:val="24"/>
              </w:rPr>
              <w:t xml:space="preserve">Rollout of the ‘Bia </w:t>
            </w:r>
            <w:proofErr w:type="spellStart"/>
            <w:r>
              <w:rPr>
                <w:rFonts w:ascii="Tms Rmn" w:hAnsi="Tms Rmn" w:cs="Tms Rmn"/>
                <w:color w:val="000000"/>
                <w:kern w:val="0"/>
                <w:sz w:val="24"/>
                <w:szCs w:val="24"/>
              </w:rPr>
              <w:t>Blasta</w:t>
            </w:r>
            <w:proofErr w:type="spellEnd"/>
            <w:r>
              <w:rPr>
                <w:rFonts w:ascii="Tms Rmn" w:hAnsi="Tms Rmn" w:cs="Tms Rmn"/>
                <w:color w:val="000000"/>
                <w:kern w:val="0"/>
                <w:sz w:val="24"/>
                <w:szCs w:val="24"/>
              </w:rPr>
              <w:t xml:space="preserve">’ pre-school nutrition programme, which commenced on 1 October 2025 for Equal Start designated services providing the ECCE Programme. </w:t>
            </w:r>
            <w:r>
              <w:rPr>
                <w:rFonts w:ascii="Tms Rmn" w:hAnsi="Tms Rmn" w:cs="Tms Rmn"/>
                <w:color w:val="000000"/>
                <w:kern w:val="0"/>
                <w:sz w:val="24"/>
                <w:szCs w:val="24"/>
              </w:rPr>
              <w:br/>
              <w:t xml:space="preserve">- Rollout of the Traveller Parenting Support Programme in 17 </w:t>
            </w:r>
            <w:proofErr w:type="spellStart"/>
            <w:r>
              <w:rPr>
                <w:rFonts w:ascii="Tms Rmn" w:hAnsi="Tms Rmn" w:cs="Tms Rmn"/>
                <w:color w:val="000000"/>
                <w:kern w:val="0"/>
                <w:sz w:val="24"/>
                <w:szCs w:val="24"/>
              </w:rPr>
              <w:t>Tusla</w:t>
            </w:r>
            <w:proofErr w:type="spellEnd"/>
            <w:r>
              <w:rPr>
                <w:rFonts w:ascii="Tms Rmn" w:hAnsi="Tms Rmn" w:cs="Tms Rmn"/>
                <w:color w:val="000000"/>
                <w:kern w:val="0"/>
                <w:sz w:val="24"/>
                <w:szCs w:val="24"/>
              </w:rPr>
              <w:t xml:space="preserve"> areas, with responsibilities on Family Link Workers to engage with Traveller parents of young children, supporting them to attend and participate in ELC and SAC </w:t>
            </w:r>
            <w:r>
              <w:rPr>
                <w:rFonts w:ascii="Tms Rmn" w:hAnsi="Tms Rmn" w:cs="Tms Rmn"/>
                <w:color w:val="000000"/>
                <w:kern w:val="0"/>
                <w:sz w:val="24"/>
                <w:szCs w:val="24"/>
              </w:rPr>
              <w:br/>
              <w:t xml:space="preserve">- Appointment of Traveller and Roma Advisory Specialists to work in Better Start to promote inclusive ELC and SAC </w:t>
            </w:r>
            <w:r>
              <w:rPr>
                <w:rFonts w:ascii="Tms Rmn" w:hAnsi="Tms Rmn" w:cs="Tms Rmn"/>
                <w:color w:val="000000"/>
                <w:kern w:val="0"/>
                <w:sz w:val="24"/>
                <w:szCs w:val="24"/>
              </w:rPr>
              <w:br/>
              <w:t xml:space="preserve">- Roll-out of Early Talk Boost – an intervention for language delay - to settings with a priority designation  </w:t>
            </w:r>
          </w:p>
        </w:tc>
        <w:tc>
          <w:tcPr>
            <w:tcW w:w="1667" w:type="pct"/>
            <w:tcBorders>
              <w:top w:val="single" w:sz="6" w:space="0" w:color="auto"/>
              <w:left w:val="single" w:sz="6" w:space="0" w:color="auto"/>
              <w:bottom w:val="single" w:sz="6" w:space="0" w:color="auto"/>
              <w:right w:val="single" w:sz="6" w:space="0" w:color="auto"/>
            </w:tcBorders>
          </w:tcPr>
          <w:p w14:paraId="05186803"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79EE9B35" w14:textId="77777777" w:rsidTr="00FD0D5F">
        <w:tc>
          <w:tcPr>
            <w:tcW w:w="1666" w:type="pct"/>
            <w:tcBorders>
              <w:top w:val="single" w:sz="6" w:space="0" w:color="auto"/>
              <w:left w:val="single" w:sz="6" w:space="0" w:color="auto"/>
              <w:bottom w:val="single" w:sz="6" w:space="0" w:color="auto"/>
              <w:right w:val="single" w:sz="6" w:space="0" w:color="auto"/>
            </w:tcBorders>
          </w:tcPr>
          <w:p w14:paraId="7F79429A" w14:textId="38009363"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Explore making available an extra hour of ECCE each day in the second year of preschool.</w:t>
            </w:r>
          </w:p>
        </w:tc>
        <w:tc>
          <w:tcPr>
            <w:tcW w:w="1667" w:type="pct"/>
            <w:tcBorders>
              <w:top w:val="single" w:sz="6" w:space="0" w:color="auto"/>
              <w:left w:val="single" w:sz="6" w:space="0" w:color="auto"/>
              <w:bottom w:val="single" w:sz="6" w:space="0" w:color="auto"/>
              <w:right w:val="single" w:sz="6" w:space="0" w:color="auto"/>
            </w:tcBorders>
          </w:tcPr>
          <w:p w14:paraId="69FD15F0" w14:textId="09230C8B"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Policy analysis is underway to consider the implications of this change for children, parents and providers. It is being considered in the context of the results of the 2024 ECCE review and the development of Phase 2 of the Shaping the Future Action Plan.  </w:t>
            </w:r>
          </w:p>
        </w:tc>
        <w:tc>
          <w:tcPr>
            <w:tcW w:w="1667" w:type="pct"/>
            <w:tcBorders>
              <w:top w:val="single" w:sz="6" w:space="0" w:color="auto"/>
              <w:left w:val="single" w:sz="6" w:space="0" w:color="auto"/>
              <w:bottom w:val="single" w:sz="6" w:space="0" w:color="auto"/>
              <w:right w:val="single" w:sz="6" w:space="0" w:color="auto"/>
            </w:tcBorders>
          </w:tcPr>
          <w:p w14:paraId="2D3F8C1A"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79E106D0" w14:textId="77777777" w:rsidTr="00FD0D5F">
        <w:tc>
          <w:tcPr>
            <w:tcW w:w="1666" w:type="pct"/>
            <w:tcBorders>
              <w:top w:val="single" w:sz="6" w:space="0" w:color="auto"/>
              <w:left w:val="single" w:sz="6" w:space="0" w:color="auto"/>
              <w:bottom w:val="single" w:sz="6" w:space="0" w:color="auto"/>
              <w:right w:val="single" w:sz="6" w:space="0" w:color="auto"/>
            </w:tcBorders>
          </w:tcPr>
          <w:p w14:paraId="51C53152"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Evaluate options to amend the ECCE eligibility criteria.  </w:t>
            </w:r>
          </w:p>
        </w:tc>
        <w:tc>
          <w:tcPr>
            <w:tcW w:w="1667" w:type="pct"/>
            <w:tcBorders>
              <w:top w:val="single" w:sz="6" w:space="0" w:color="auto"/>
              <w:left w:val="single" w:sz="6" w:space="0" w:color="auto"/>
              <w:bottom w:val="single" w:sz="6" w:space="0" w:color="auto"/>
              <w:right w:val="single" w:sz="6" w:space="0" w:color="auto"/>
            </w:tcBorders>
          </w:tcPr>
          <w:p w14:paraId="1501F461" w14:textId="20A4E03A"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Policy analysis is underway to consider the implications of this change for children, parents and providers. It is being considered in the context of the results of the 2024 ECCE review and the development of Phase 2 of the Shaping the Future Action Plan.  </w:t>
            </w:r>
          </w:p>
        </w:tc>
        <w:tc>
          <w:tcPr>
            <w:tcW w:w="1667" w:type="pct"/>
            <w:tcBorders>
              <w:top w:val="single" w:sz="6" w:space="0" w:color="auto"/>
              <w:left w:val="single" w:sz="6" w:space="0" w:color="auto"/>
              <w:bottom w:val="single" w:sz="6" w:space="0" w:color="auto"/>
              <w:right w:val="single" w:sz="6" w:space="0" w:color="auto"/>
            </w:tcBorders>
          </w:tcPr>
          <w:p w14:paraId="0708DBB3"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02C5B37A" w14:textId="77777777" w:rsidTr="00FD0D5F">
        <w:tc>
          <w:tcPr>
            <w:tcW w:w="1666" w:type="pct"/>
            <w:tcBorders>
              <w:top w:val="single" w:sz="6" w:space="0" w:color="auto"/>
              <w:left w:val="single" w:sz="6" w:space="0" w:color="auto"/>
              <w:bottom w:val="single" w:sz="6" w:space="0" w:color="auto"/>
              <w:right w:val="single" w:sz="6" w:space="0" w:color="auto"/>
            </w:tcBorders>
          </w:tcPr>
          <w:p w14:paraId="48CF60E2"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Extend the National Childcare Scheme to childminders working in the family home, with sensible regulations that fit homebased care.  </w:t>
            </w:r>
          </w:p>
        </w:tc>
        <w:tc>
          <w:tcPr>
            <w:tcW w:w="1667" w:type="pct"/>
            <w:tcBorders>
              <w:top w:val="single" w:sz="6" w:space="0" w:color="auto"/>
              <w:left w:val="single" w:sz="6" w:space="0" w:color="auto"/>
              <w:bottom w:val="single" w:sz="6" w:space="0" w:color="auto"/>
              <w:right w:val="single" w:sz="6" w:space="0" w:color="auto"/>
            </w:tcBorders>
          </w:tcPr>
          <w:p w14:paraId="56C499BD" w14:textId="38D38D6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National Childcare Scheme has already opened to childminders working in the childminder's home. Childminders now have a 3-year transition period (to September 2027) during which they can register with </w:t>
            </w:r>
            <w:proofErr w:type="spellStart"/>
            <w:r>
              <w:rPr>
                <w:rFonts w:ascii="Tms Rmn" w:hAnsi="Tms Rmn" w:cs="Tms Rmn"/>
                <w:color w:val="000000"/>
                <w:kern w:val="0"/>
                <w:sz w:val="24"/>
                <w:szCs w:val="24"/>
              </w:rPr>
              <w:t>Tusla</w:t>
            </w:r>
            <w:proofErr w:type="spellEnd"/>
            <w:r>
              <w:rPr>
                <w:rFonts w:ascii="Tms Rmn" w:hAnsi="Tms Rmn" w:cs="Tms Rmn"/>
                <w:color w:val="000000"/>
                <w:kern w:val="0"/>
                <w:sz w:val="24"/>
                <w:szCs w:val="24"/>
              </w:rPr>
              <w:t xml:space="preserve"> but are not yet required to do so.</w:t>
            </w:r>
          </w:p>
        </w:tc>
        <w:tc>
          <w:tcPr>
            <w:tcW w:w="1667" w:type="pct"/>
            <w:tcBorders>
              <w:top w:val="single" w:sz="6" w:space="0" w:color="auto"/>
              <w:left w:val="single" w:sz="6" w:space="0" w:color="auto"/>
              <w:bottom w:val="single" w:sz="6" w:space="0" w:color="auto"/>
              <w:right w:val="single" w:sz="6" w:space="0" w:color="auto"/>
            </w:tcBorders>
          </w:tcPr>
          <w:p w14:paraId="4F4AC71E"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6A132AC8" w14:textId="77777777" w:rsidTr="00FD0D5F">
        <w:tc>
          <w:tcPr>
            <w:tcW w:w="1666" w:type="pct"/>
            <w:tcBorders>
              <w:top w:val="single" w:sz="6" w:space="0" w:color="auto"/>
              <w:left w:val="single" w:sz="6" w:space="0" w:color="auto"/>
              <w:bottom w:val="single" w:sz="6" w:space="0" w:color="auto"/>
              <w:right w:val="single" w:sz="6" w:space="0" w:color="auto"/>
            </w:tcBorders>
          </w:tcPr>
          <w:p w14:paraId="7583002C"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Support childminders through the </w:t>
            </w:r>
            <w:proofErr w:type="spellStart"/>
            <w:r>
              <w:rPr>
                <w:rFonts w:ascii="Tms Rmn" w:hAnsi="Tms Rmn" w:cs="Tms Rmn"/>
                <w:color w:val="000000"/>
                <w:kern w:val="0"/>
                <w:sz w:val="24"/>
                <w:szCs w:val="24"/>
              </w:rPr>
              <w:t>Tusla</w:t>
            </w:r>
            <w:proofErr w:type="spellEnd"/>
            <w:r>
              <w:rPr>
                <w:rFonts w:ascii="Tms Rmn" w:hAnsi="Tms Rmn" w:cs="Tms Rmn"/>
                <w:color w:val="000000"/>
                <w:kern w:val="0"/>
                <w:sz w:val="24"/>
                <w:szCs w:val="24"/>
              </w:rPr>
              <w:t xml:space="preserve"> registration process and expand access to local training opportunities.  </w:t>
            </w:r>
          </w:p>
        </w:tc>
        <w:tc>
          <w:tcPr>
            <w:tcW w:w="1667" w:type="pct"/>
            <w:tcBorders>
              <w:top w:val="single" w:sz="6" w:space="0" w:color="auto"/>
              <w:left w:val="single" w:sz="6" w:space="0" w:color="auto"/>
              <w:bottom w:val="single" w:sz="6" w:space="0" w:color="auto"/>
              <w:right w:val="single" w:sz="6" w:space="0" w:color="auto"/>
            </w:tcBorders>
          </w:tcPr>
          <w:p w14:paraId="3DAA824F"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Department is funding a Childminding Development Officer in every City and County Childcare Committee to provide local-level support to childminders. Childminding Development Officers deliver Pre-Registration Training to childminders at local level.  </w:t>
            </w:r>
          </w:p>
        </w:tc>
        <w:tc>
          <w:tcPr>
            <w:tcW w:w="1667" w:type="pct"/>
            <w:tcBorders>
              <w:top w:val="single" w:sz="6" w:space="0" w:color="auto"/>
              <w:left w:val="single" w:sz="6" w:space="0" w:color="auto"/>
              <w:bottom w:val="single" w:sz="6" w:space="0" w:color="auto"/>
              <w:right w:val="single" w:sz="6" w:space="0" w:color="auto"/>
            </w:tcBorders>
          </w:tcPr>
          <w:p w14:paraId="5155F7E0"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0D0FB3DB" w14:textId="77777777" w:rsidTr="00FD0D5F">
        <w:tc>
          <w:tcPr>
            <w:tcW w:w="1666" w:type="pct"/>
            <w:tcBorders>
              <w:top w:val="single" w:sz="6" w:space="0" w:color="auto"/>
              <w:left w:val="single" w:sz="6" w:space="0" w:color="auto"/>
              <w:bottom w:val="single" w:sz="6" w:space="0" w:color="auto"/>
              <w:right w:val="single" w:sz="6" w:space="0" w:color="auto"/>
            </w:tcBorders>
          </w:tcPr>
          <w:p w14:paraId="7C5D35C3" w14:textId="2AC3640B"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Continue to provide grants that help childminders improve safety and quality through essential toys, equipment, and technology.</w:t>
            </w:r>
          </w:p>
        </w:tc>
        <w:tc>
          <w:tcPr>
            <w:tcW w:w="1667" w:type="pct"/>
            <w:tcBorders>
              <w:top w:val="single" w:sz="6" w:space="0" w:color="auto"/>
              <w:left w:val="single" w:sz="6" w:space="0" w:color="auto"/>
              <w:bottom w:val="single" w:sz="6" w:space="0" w:color="auto"/>
              <w:right w:val="single" w:sz="6" w:space="0" w:color="auto"/>
            </w:tcBorders>
          </w:tcPr>
          <w:p w14:paraId="1EE46464"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In 2025, the Department paid €413,338 to childminders through the Childminding Development Grant. A further round of the grant opened in February 2026.  </w:t>
            </w:r>
          </w:p>
        </w:tc>
        <w:tc>
          <w:tcPr>
            <w:tcW w:w="1667" w:type="pct"/>
            <w:tcBorders>
              <w:top w:val="single" w:sz="6" w:space="0" w:color="auto"/>
              <w:left w:val="single" w:sz="6" w:space="0" w:color="auto"/>
              <w:bottom w:val="single" w:sz="6" w:space="0" w:color="auto"/>
              <w:right w:val="single" w:sz="6" w:space="0" w:color="auto"/>
            </w:tcBorders>
          </w:tcPr>
          <w:p w14:paraId="3AEC0F32"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2026 round of the Childminding Development Grant opened for applications on 11 February and will close on 15 April.  </w:t>
            </w:r>
          </w:p>
        </w:tc>
      </w:tr>
      <w:tr w:rsidR="00FD0D5F" w14:paraId="1D627C7F" w14:textId="77777777" w:rsidTr="00FD0D5F">
        <w:tc>
          <w:tcPr>
            <w:tcW w:w="1666" w:type="pct"/>
            <w:tcBorders>
              <w:top w:val="single" w:sz="6" w:space="0" w:color="auto"/>
              <w:left w:val="single" w:sz="6" w:space="0" w:color="auto"/>
              <w:bottom w:val="single" w:sz="6" w:space="0" w:color="auto"/>
              <w:right w:val="single" w:sz="6" w:space="0" w:color="auto"/>
            </w:tcBorders>
          </w:tcPr>
          <w:p w14:paraId="2E737F00"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Expand the provision of after-school and childcare in school buildings and campuses, in tandem with the school building programme, to provide better access for parents and communities  </w:t>
            </w:r>
          </w:p>
        </w:tc>
        <w:tc>
          <w:tcPr>
            <w:tcW w:w="1667" w:type="pct"/>
            <w:tcBorders>
              <w:top w:val="single" w:sz="6" w:space="0" w:color="auto"/>
              <w:left w:val="single" w:sz="6" w:space="0" w:color="auto"/>
              <w:bottom w:val="single" w:sz="6" w:space="0" w:color="auto"/>
              <w:right w:val="single" w:sz="6" w:space="0" w:color="auto"/>
            </w:tcBorders>
          </w:tcPr>
          <w:p w14:paraId="1FDBDD72"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22% ELC and SAC are delivered on school sites. Enrolments in school-age childcare have increased by 76.8% between 2022 and </w:t>
            </w:r>
            <w:proofErr w:type="gramStart"/>
            <w:r>
              <w:rPr>
                <w:rFonts w:ascii="Tms Rmn" w:hAnsi="Tms Rmn" w:cs="Tms Rmn"/>
                <w:color w:val="000000"/>
                <w:kern w:val="0"/>
                <w:sz w:val="24"/>
                <w:szCs w:val="24"/>
              </w:rPr>
              <w:t>2025 .</w:t>
            </w:r>
            <w:proofErr w:type="gramEnd"/>
            <w:r>
              <w:rPr>
                <w:rFonts w:ascii="Tms Rmn" w:hAnsi="Tms Rmn" w:cs="Tms Rmn"/>
                <w:color w:val="000000"/>
                <w:kern w:val="0"/>
                <w:sz w:val="24"/>
                <w:szCs w:val="24"/>
              </w:rPr>
              <w:t xml:space="preserve"> As of end October 2025, 296 new school age childcare services have </w:t>
            </w:r>
            <w:proofErr w:type="gramStart"/>
            <w:r>
              <w:rPr>
                <w:rFonts w:ascii="Tms Rmn" w:hAnsi="Tms Rmn" w:cs="Tms Rmn"/>
                <w:color w:val="000000"/>
                <w:kern w:val="0"/>
                <w:sz w:val="24"/>
                <w:szCs w:val="24"/>
              </w:rPr>
              <w:t>were</w:t>
            </w:r>
            <w:proofErr w:type="gramEnd"/>
            <w:r>
              <w:rPr>
                <w:rFonts w:ascii="Tms Rmn" w:hAnsi="Tms Rmn" w:cs="Tms Rmn"/>
                <w:color w:val="000000"/>
                <w:kern w:val="0"/>
                <w:sz w:val="24"/>
                <w:szCs w:val="24"/>
              </w:rPr>
              <w:t xml:space="preserve"> added to the </w:t>
            </w:r>
            <w:proofErr w:type="spellStart"/>
            <w:r>
              <w:rPr>
                <w:rFonts w:ascii="Tms Rmn" w:hAnsi="Tms Rmn" w:cs="Tms Rmn"/>
                <w:color w:val="000000"/>
                <w:kern w:val="0"/>
                <w:sz w:val="24"/>
                <w:szCs w:val="24"/>
              </w:rPr>
              <w:t>Tusla</w:t>
            </w:r>
            <w:proofErr w:type="spellEnd"/>
            <w:r>
              <w:rPr>
                <w:rFonts w:ascii="Tms Rmn" w:hAnsi="Tms Rmn" w:cs="Tms Rmn"/>
                <w:color w:val="000000"/>
                <w:kern w:val="0"/>
                <w:sz w:val="24"/>
                <w:szCs w:val="24"/>
              </w:rPr>
              <w:t xml:space="preserve"> register in 2025, leading to a net increase of 267 new school-age childcare services over the period January-October 2025 alone  </w:t>
            </w:r>
          </w:p>
        </w:tc>
        <w:tc>
          <w:tcPr>
            <w:tcW w:w="1667" w:type="pct"/>
            <w:tcBorders>
              <w:top w:val="single" w:sz="6" w:space="0" w:color="auto"/>
              <w:left w:val="single" w:sz="6" w:space="0" w:color="auto"/>
              <w:bottom w:val="single" w:sz="6" w:space="0" w:color="auto"/>
              <w:right w:val="single" w:sz="6" w:space="0" w:color="auto"/>
            </w:tcBorders>
          </w:tcPr>
          <w:p w14:paraId="50CB2BF7"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r w:rsidR="00FD0D5F" w14:paraId="4279E899" w14:textId="77777777" w:rsidTr="00FD0D5F">
        <w:tc>
          <w:tcPr>
            <w:tcW w:w="1666" w:type="pct"/>
            <w:tcBorders>
              <w:top w:val="single" w:sz="6" w:space="0" w:color="auto"/>
              <w:left w:val="single" w:sz="6" w:space="0" w:color="auto"/>
              <w:bottom w:val="single" w:sz="6" w:space="0" w:color="auto"/>
              <w:right w:val="single" w:sz="6" w:space="0" w:color="auto"/>
            </w:tcBorders>
          </w:tcPr>
          <w:p w14:paraId="664EDED7"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Expand the provision for newborns and their parents of a Baby Bundle, comprising essential items to support them from day one  </w:t>
            </w:r>
          </w:p>
        </w:tc>
        <w:tc>
          <w:tcPr>
            <w:tcW w:w="1667" w:type="pct"/>
            <w:tcBorders>
              <w:top w:val="single" w:sz="6" w:space="0" w:color="auto"/>
              <w:left w:val="single" w:sz="6" w:space="0" w:color="auto"/>
              <w:bottom w:val="single" w:sz="6" w:space="0" w:color="auto"/>
              <w:right w:val="single" w:sz="6" w:space="0" w:color="auto"/>
            </w:tcBorders>
          </w:tcPr>
          <w:p w14:paraId="7AC7BB9D"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evaluation of the pilot is complete and available. An updated Baby Bundle has been prepared taking into consideration feedback from the pilot.  </w:t>
            </w:r>
          </w:p>
        </w:tc>
        <w:tc>
          <w:tcPr>
            <w:tcW w:w="1667" w:type="pct"/>
            <w:tcBorders>
              <w:top w:val="single" w:sz="6" w:space="0" w:color="auto"/>
              <w:left w:val="single" w:sz="6" w:space="0" w:color="auto"/>
              <w:bottom w:val="single" w:sz="6" w:space="0" w:color="auto"/>
              <w:right w:val="single" w:sz="6" w:space="0" w:color="auto"/>
            </w:tcBorders>
          </w:tcPr>
          <w:p w14:paraId="5B756A3F" w14:textId="77777777" w:rsidR="00FD0D5F" w:rsidRDefault="00FD0D5F">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No further update.  </w:t>
            </w:r>
          </w:p>
        </w:tc>
      </w:tr>
    </w:tbl>
    <w:p w14:paraId="59DD1D22" w14:textId="77777777" w:rsidR="00FD0D5F" w:rsidRDefault="00FD0D5F" w:rsidP="00FD0D5F">
      <w:pPr>
        <w:tabs>
          <w:tab w:val="left" w:pos="180"/>
          <w:tab w:val="left" w:pos="544"/>
          <w:tab w:val="left" w:pos="827"/>
          <w:tab w:val="left" w:pos="1111"/>
          <w:tab w:val="left" w:pos="1394"/>
          <w:tab w:val="left" w:pos="1961"/>
          <w:tab w:val="left" w:pos="2527"/>
        </w:tabs>
        <w:autoSpaceDE w:val="0"/>
        <w:autoSpaceDN w:val="0"/>
        <w:adjustRightInd w:val="0"/>
        <w:spacing w:after="0" w:line="480" w:lineRule="auto"/>
        <w:rPr>
          <w:rFonts w:ascii="Tms Rmn" w:hAnsi="Tms Rmn" w:cs="Tms Rmn"/>
          <w:color w:val="000000"/>
          <w:kern w:val="0"/>
          <w:sz w:val="24"/>
          <w:szCs w:val="24"/>
        </w:rPr>
      </w:pPr>
    </w:p>
    <w:p w14:paraId="4AA27B71" w14:textId="77777777" w:rsidR="00BB4C2B" w:rsidRDefault="00BB4C2B"/>
    <w:sectPr w:rsidR="00BB4C2B" w:rsidSect="00FD0D5F">
      <w:pgSz w:w="15840" w:h="12240" w:orient="landscape"/>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5C9"/>
    <w:rsid w:val="006535C9"/>
    <w:rsid w:val="007021FF"/>
    <w:rsid w:val="007458A4"/>
    <w:rsid w:val="008142B9"/>
    <w:rsid w:val="00BB4C2B"/>
    <w:rsid w:val="00FD0D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D26F9"/>
  <w15:chartTrackingRefBased/>
  <w15:docId w15:val="{41E78635-B447-4C1B-840F-BD4546916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5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5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5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5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5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5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5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5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5C9"/>
    <w:rPr>
      <w:rFonts w:eastAsiaTheme="majorEastAsia" w:cstheme="majorBidi"/>
      <w:color w:val="272727" w:themeColor="text1" w:themeTint="D8"/>
    </w:rPr>
  </w:style>
  <w:style w:type="paragraph" w:styleId="Title">
    <w:name w:val="Title"/>
    <w:basedOn w:val="Normal"/>
    <w:next w:val="Normal"/>
    <w:link w:val="TitleChar"/>
    <w:uiPriority w:val="10"/>
    <w:qFormat/>
    <w:rsid w:val="00653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5C9"/>
    <w:pPr>
      <w:spacing w:before="160"/>
      <w:jc w:val="center"/>
    </w:pPr>
    <w:rPr>
      <w:i/>
      <w:iCs/>
      <w:color w:val="404040" w:themeColor="text1" w:themeTint="BF"/>
    </w:rPr>
  </w:style>
  <w:style w:type="character" w:customStyle="1" w:styleId="QuoteChar">
    <w:name w:val="Quote Char"/>
    <w:basedOn w:val="DefaultParagraphFont"/>
    <w:link w:val="Quote"/>
    <w:uiPriority w:val="29"/>
    <w:rsid w:val="006535C9"/>
    <w:rPr>
      <w:i/>
      <w:iCs/>
      <w:color w:val="404040" w:themeColor="text1" w:themeTint="BF"/>
    </w:rPr>
  </w:style>
  <w:style w:type="paragraph" w:styleId="ListParagraph">
    <w:name w:val="List Paragraph"/>
    <w:basedOn w:val="Normal"/>
    <w:uiPriority w:val="34"/>
    <w:qFormat/>
    <w:rsid w:val="006535C9"/>
    <w:pPr>
      <w:ind w:left="720"/>
      <w:contextualSpacing/>
    </w:pPr>
  </w:style>
  <w:style w:type="character" w:styleId="IntenseEmphasis">
    <w:name w:val="Intense Emphasis"/>
    <w:basedOn w:val="DefaultParagraphFont"/>
    <w:uiPriority w:val="21"/>
    <w:qFormat/>
    <w:rsid w:val="006535C9"/>
    <w:rPr>
      <w:i/>
      <w:iCs/>
      <w:color w:val="0F4761" w:themeColor="accent1" w:themeShade="BF"/>
    </w:rPr>
  </w:style>
  <w:style w:type="paragraph" w:styleId="IntenseQuote">
    <w:name w:val="Intense Quote"/>
    <w:basedOn w:val="Normal"/>
    <w:next w:val="Normal"/>
    <w:link w:val="IntenseQuoteChar"/>
    <w:uiPriority w:val="30"/>
    <w:qFormat/>
    <w:rsid w:val="00653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5C9"/>
    <w:rPr>
      <w:i/>
      <w:iCs/>
      <w:color w:val="0F4761" w:themeColor="accent1" w:themeShade="BF"/>
    </w:rPr>
  </w:style>
  <w:style w:type="character" w:styleId="IntenseReference">
    <w:name w:val="Intense Reference"/>
    <w:basedOn w:val="DefaultParagraphFont"/>
    <w:uiPriority w:val="32"/>
    <w:qFormat/>
    <w:rsid w:val="006535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2492</Words>
  <Characters>14209</Characters>
  <Application>Microsoft Office Word</Application>
  <DocSecurity>0</DocSecurity>
  <Lines>118</Lines>
  <Paragraphs>33</Paragraphs>
  <ScaleCrop>false</ScaleCrop>
  <Company/>
  <LinksUpToDate>false</LinksUpToDate>
  <CharactersWithSpaces>16668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2</cp:revision>
  <dcterms:created xsi:type="dcterms:W3CDTF">2026-02-18T14:14:00Z</dcterms:created>
  <dcterms:modified xsi:type="dcterms:W3CDTF">2026-02-18T14:18:00Z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2026-02-18T14:18:56Z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75524dff-cf1f-47e6-9a32-285eccb15f20</vt:lpwstr>
  </property>
  <property fmtid="{D5CDD505-2E9C-101B-9397-08002B2CF9AE}" pid="8" name="MSIP_Label_a276e348-bda2-42ff-85d7-569ad34f2b3a_ContentBits">
    <vt:lpwstr>0</vt:lpwstr>
  </property>
</Properties>
</file>