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ayout w:type="fixed"/>
        <w:tblCellMar>
          <w:left w:w="0" w:type="dxa"/>
          <w:right w:w="0" w:type="dxa"/>
        </w:tblCellMar>
        <w:tblLook w:val="00BF" w:firstRow="1" w:lastRow="0" w:firstColumn="1" w:lastColumn="0" w:noHBand="0" w:noVBand="0"/>
      </w:tblPr>
      <w:tblGrid>
        <w:gridCol w:w="2252"/>
        <w:gridCol w:w="2252"/>
        <w:gridCol w:w="2253"/>
        <w:gridCol w:w="2253"/>
      </w:tblGrid>
      <w:tr w:rsidR="00364043" w14:paraId="4E7DA471" w14:textId="77777777">
        <w:tc>
          <w:tcPr>
            <w:tcW w:w="1250" w:type="pct"/>
            <w:tcBorders>
              <w:top w:val="single" w:sz="6" w:space="0" w:color="auto"/>
              <w:left w:val="single" w:sz="6" w:space="0" w:color="auto"/>
              <w:bottom w:val="single" w:sz="6" w:space="0" w:color="auto"/>
              <w:right w:val="single" w:sz="6" w:space="0" w:color="auto"/>
            </w:tcBorders>
          </w:tcPr>
          <w:p w14:paraId="38BA2BC7"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Date of Establishment</w:t>
            </w:r>
            <w:r>
              <w:rPr>
                <w:rFonts w:ascii="Tms Rmn" w:hAnsi="Tms Rmn" w:cs="Tms Rmn"/>
                <w:color w:val="000000"/>
                <w:kern w:val="0"/>
                <w:sz w:val="24"/>
                <w:szCs w:val="24"/>
              </w:rPr>
              <w:br/>
              <w:t xml:space="preserve">  </w:t>
            </w:r>
          </w:p>
        </w:tc>
        <w:tc>
          <w:tcPr>
            <w:tcW w:w="1250" w:type="pct"/>
            <w:tcBorders>
              <w:top w:val="single" w:sz="6" w:space="0" w:color="auto"/>
              <w:left w:val="single" w:sz="6" w:space="0" w:color="auto"/>
              <w:bottom w:val="single" w:sz="6" w:space="0" w:color="auto"/>
              <w:right w:val="single" w:sz="6" w:space="0" w:color="auto"/>
            </w:tcBorders>
          </w:tcPr>
          <w:p w14:paraId="592E3FBE"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Name </w:t>
            </w:r>
          </w:p>
        </w:tc>
        <w:tc>
          <w:tcPr>
            <w:tcW w:w="1250" w:type="pct"/>
            <w:tcBorders>
              <w:top w:val="single" w:sz="6" w:space="0" w:color="auto"/>
              <w:left w:val="single" w:sz="6" w:space="0" w:color="auto"/>
              <w:bottom w:val="single" w:sz="6" w:space="0" w:color="auto"/>
              <w:right w:val="single" w:sz="6" w:space="0" w:color="auto"/>
            </w:tcBorders>
          </w:tcPr>
          <w:p w14:paraId="5E503CAE"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Purpose of the Working Group </w:t>
            </w:r>
          </w:p>
        </w:tc>
        <w:tc>
          <w:tcPr>
            <w:tcW w:w="1250" w:type="pct"/>
            <w:tcBorders>
              <w:top w:val="single" w:sz="6" w:space="0" w:color="auto"/>
              <w:left w:val="single" w:sz="6" w:space="0" w:color="auto"/>
              <w:bottom w:val="single" w:sz="6" w:space="0" w:color="auto"/>
              <w:right w:val="single" w:sz="6" w:space="0" w:color="auto"/>
            </w:tcBorders>
          </w:tcPr>
          <w:p w14:paraId="4734C530"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Frequency of Meetings</w:t>
            </w:r>
            <w:r>
              <w:rPr>
                <w:rFonts w:ascii="Tms Rmn" w:hAnsi="Tms Rmn" w:cs="Tms Rmn"/>
                <w:color w:val="000000"/>
                <w:kern w:val="0"/>
                <w:sz w:val="24"/>
                <w:szCs w:val="24"/>
              </w:rPr>
              <w:br/>
              <w:t xml:space="preserve">  </w:t>
            </w:r>
          </w:p>
        </w:tc>
      </w:tr>
      <w:tr w:rsidR="00364043" w14:paraId="59364389" w14:textId="77777777">
        <w:tc>
          <w:tcPr>
            <w:tcW w:w="1250" w:type="pct"/>
            <w:tcBorders>
              <w:top w:val="single" w:sz="6" w:space="0" w:color="auto"/>
              <w:left w:val="single" w:sz="6" w:space="0" w:color="auto"/>
              <w:bottom w:val="single" w:sz="6" w:space="0" w:color="auto"/>
              <w:right w:val="single" w:sz="6" w:space="0" w:color="auto"/>
            </w:tcBorders>
          </w:tcPr>
          <w:p w14:paraId="451A735E"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2026 </w:t>
            </w:r>
          </w:p>
        </w:tc>
        <w:tc>
          <w:tcPr>
            <w:tcW w:w="1250" w:type="pct"/>
            <w:tcBorders>
              <w:top w:val="single" w:sz="6" w:space="0" w:color="auto"/>
              <w:left w:val="single" w:sz="6" w:space="0" w:color="auto"/>
              <w:bottom w:val="single" w:sz="6" w:space="0" w:color="auto"/>
              <w:right w:val="single" w:sz="6" w:space="0" w:color="auto"/>
            </w:tcBorders>
          </w:tcPr>
          <w:p w14:paraId="22C8C1B4"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Working Group for the Periodic Critical Review of the Valuation Tribunal </w:t>
            </w:r>
          </w:p>
        </w:tc>
        <w:tc>
          <w:tcPr>
            <w:tcW w:w="1250" w:type="pct"/>
            <w:tcBorders>
              <w:top w:val="single" w:sz="6" w:space="0" w:color="auto"/>
              <w:left w:val="single" w:sz="6" w:space="0" w:color="auto"/>
              <w:bottom w:val="single" w:sz="6" w:space="0" w:color="auto"/>
              <w:right w:val="single" w:sz="6" w:space="0" w:color="auto"/>
            </w:tcBorders>
          </w:tcPr>
          <w:p w14:paraId="0ABBE718"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A group for the oversight of the periodic critical review process and preparation of the report resulting from the review</w:t>
            </w:r>
          </w:p>
        </w:tc>
        <w:tc>
          <w:tcPr>
            <w:tcW w:w="1250" w:type="pct"/>
            <w:tcBorders>
              <w:top w:val="single" w:sz="6" w:space="0" w:color="auto"/>
              <w:left w:val="single" w:sz="6" w:space="0" w:color="auto"/>
              <w:bottom w:val="single" w:sz="6" w:space="0" w:color="auto"/>
              <w:right w:val="single" w:sz="6" w:space="0" w:color="auto"/>
            </w:tcBorders>
          </w:tcPr>
          <w:p w14:paraId="659D28E2"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As Required </w:t>
            </w:r>
          </w:p>
        </w:tc>
      </w:tr>
      <w:tr w:rsidR="00364043" w14:paraId="0584AEA2" w14:textId="77777777">
        <w:tc>
          <w:tcPr>
            <w:tcW w:w="1250" w:type="pct"/>
            <w:tcBorders>
              <w:top w:val="single" w:sz="6" w:space="0" w:color="auto"/>
              <w:left w:val="single" w:sz="6" w:space="0" w:color="auto"/>
              <w:bottom w:val="single" w:sz="6" w:space="0" w:color="auto"/>
              <w:right w:val="single" w:sz="6" w:space="0" w:color="auto"/>
            </w:tcBorders>
          </w:tcPr>
          <w:p w14:paraId="11C9CC05"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2026 </w:t>
            </w:r>
          </w:p>
        </w:tc>
        <w:tc>
          <w:tcPr>
            <w:tcW w:w="1250" w:type="pct"/>
            <w:tcBorders>
              <w:top w:val="single" w:sz="6" w:space="0" w:color="auto"/>
              <w:left w:val="single" w:sz="6" w:space="0" w:color="auto"/>
              <w:bottom w:val="single" w:sz="6" w:space="0" w:color="auto"/>
              <w:right w:val="single" w:sz="6" w:space="0" w:color="auto"/>
            </w:tcBorders>
          </w:tcPr>
          <w:p w14:paraId="05A488DA"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Derelict Sites Working Group </w:t>
            </w:r>
          </w:p>
        </w:tc>
        <w:tc>
          <w:tcPr>
            <w:tcW w:w="1250" w:type="pct"/>
            <w:tcBorders>
              <w:top w:val="single" w:sz="6" w:space="0" w:color="auto"/>
              <w:left w:val="single" w:sz="6" w:space="0" w:color="auto"/>
              <w:bottom w:val="single" w:sz="6" w:space="0" w:color="auto"/>
              <w:right w:val="single" w:sz="6" w:space="0" w:color="auto"/>
            </w:tcBorders>
          </w:tcPr>
          <w:p w14:paraId="1422CD0B"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A group to review of the effectiveness of existing derelict site legislation and assist in development of new derelict site activation measures</w:t>
            </w:r>
          </w:p>
        </w:tc>
        <w:tc>
          <w:tcPr>
            <w:tcW w:w="1250" w:type="pct"/>
            <w:tcBorders>
              <w:top w:val="single" w:sz="6" w:space="0" w:color="auto"/>
              <w:left w:val="single" w:sz="6" w:space="0" w:color="auto"/>
              <w:bottom w:val="single" w:sz="6" w:space="0" w:color="auto"/>
              <w:right w:val="single" w:sz="6" w:space="0" w:color="auto"/>
            </w:tcBorders>
          </w:tcPr>
          <w:p w14:paraId="1620DB2B"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Monthly </w:t>
            </w:r>
          </w:p>
        </w:tc>
      </w:tr>
      <w:tr w:rsidR="00364043" w14:paraId="0A4DF7FC" w14:textId="77777777">
        <w:tc>
          <w:tcPr>
            <w:tcW w:w="1250" w:type="pct"/>
            <w:tcBorders>
              <w:top w:val="single" w:sz="6" w:space="0" w:color="auto"/>
              <w:left w:val="single" w:sz="6" w:space="0" w:color="auto"/>
              <w:bottom w:val="single" w:sz="6" w:space="0" w:color="auto"/>
              <w:right w:val="single" w:sz="6" w:space="0" w:color="auto"/>
            </w:tcBorders>
          </w:tcPr>
          <w:p w14:paraId="4E2C1E32"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lastRenderedPageBreak/>
              <w:t>2025</w:t>
            </w:r>
          </w:p>
        </w:tc>
        <w:tc>
          <w:tcPr>
            <w:tcW w:w="1250" w:type="pct"/>
            <w:tcBorders>
              <w:top w:val="single" w:sz="6" w:space="0" w:color="auto"/>
              <w:left w:val="single" w:sz="6" w:space="0" w:color="auto"/>
              <w:bottom w:val="single" w:sz="6" w:space="0" w:color="auto"/>
              <w:right w:val="single" w:sz="6" w:space="0" w:color="auto"/>
            </w:tcBorders>
          </w:tcPr>
          <w:p w14:paraId="0D8F377D"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 </w:t>
            </w:r>
            <w:r>
              <w:rPr>
                <w:rFonts w:ascii="Tms Rmn" w:hAnsi="Tms Rmn" w:cs="Tms Rmn"/>
                <w:color w:val="000000"/>
                <w:kern w:val="0"/>
                <w:sz w:val="24"/>
                <w:szCs w:val="24"/>
              </w:rPr>
              <w:br/>
              <w:t>MAP Working Group 1</w:t>
            </w:r>
            <w:r>
              <w:rPr>
                <w:rFonts w:ascii="Tms Rmn" w:hAnsi="Tms Rmn" w:cs="Tms Rmn"/>
                <w:color w:val="000000"/>
                <w:kern w:val="0"/>
                <w:sz w:val="24"/>
                <w:szCs w:val="24"/>
              </w:rPr>
              <w:br/>
              <w:t xml:space="preserve"> </w:t>
            </w:r>
            <w:r>
              <w:rPr>
                <w:rFonts w:ascii="Tms Rmn" w:hAnsi="Tms Rmn" w:cs="Tms Rmn"/>
                <w:color w:val="000000"/>
                <w:kern w:val="0"/>
                <w:sz w:val="24"/>
                <w:szCs w:val="24"/>
              </w:rPr>
              <w:br/>
              <w:t xml:space="preserve"> </w:t>
            </w:r>
            <w:r>
              <w:rPr>
                <w:rFonts w:ascii="Tms Rmn" w:hAnsi="Tms Rmn" w:cs="Tms Rmn"/>
                <w:color w:val="000000"/>
                <w:kern w:val="0"/>
                <w:sz w:val="24"/>
                <w:szCs w:val="24"/>
              </w:rPr>
              <w:br/>
              <w:t xml:space="preserve"> </w:t>
            </w:r>
            <w:r>
              <w:rPr>
                <w:rFonts w:ascii="Tms Rmn" w:hAnsi="Tms Rmn" w:cs="Tms Rmn"/>
                <w:color w:val="000000"/>
                <w:kern w:val="0"/>
                <w:sz w:val="24"/>
                <w:szCs w:val="24"/>
              </w:rPr>
              <w:br/>
              <w:t xml:space="preserve"> </w:t>
            </w:r>
            <w:r>
              <w:rPr>
                <w:rFonts w:ascii="Tms Rmn" w:hAnsi="Tms Rmn" w:cs="Tms Rmn"/>
                <w:color w:val="000000"/>
                <w:kern w:val="0"/>
                <w:sz w:val="24"/>
                <w:szCs w:val="24"/>
              </w:rPr>
              <w:br/>
              <w:t xml:space="preserve"> </w:t>
            </w:r>
            <w:r>
              <w:rPr>
                <w:rFonts w:ascii="Tms Rmn" w:hAnsi="Tms Rmn" w:cs="Tms Rmn"/>
                <w:color w:val="000000"/>
                <w:kern w:val="0"/>
                <w:sz w:val="24"/>
                <w:szCs w:val="24"/>
              </w:rPr>
              <w:br/>
              <w:t xml:space="preserve"> </w:t>
            </w:r>
            <w:r>
              <w:rPr>
                <w:rFonts w:ascii="Tms Rmn" w:hAnsi="Tms Rmn" w:cs="Tms Rmn"/>
                <w:color w:val="000000"/>
                <w:kern w:val="0"/>
                <w:sz w:val="24"/>
                <w:szCs w:val="24"/>
              </w:rPr>
              <w:br/>
              <w:t xml:space="preserve"> </w:t>
            </w:r>
            <w:r>
              <w:rPr>
                <w:rFonts w:ascii="Tms Rmn" w:hAnsi="Tms Rmn" w:cs="Tms Rmn"/>
                <w:color w:val="000000"/>
                <w:kern w:val="0"/>
                <w:sz w:val="24"/>
                <w:szCs w:val="24"/>
              </w:rPr>
              <w:br/>
              <w:t xml:space="preserve"> </w:t>
            </w:r>
            <w:r>
              <w:rPr>
                <w:rFonts w:ascii="Tms Rmn" w:hAnsi="Tms Rmn" w:cs="Tms Rmn"/>
                <w:color w:val="000000"/>
                <w:kern w:val="0"/>
                <w:sz w:val="24"/>
                <w:szCs w:val="24"/>
              </w:rPr>
              <w:br/>
              <w:t xml:space="preserve"> </w:t>
            </w:r>
            <w:r>
              <w:rPr>
                <w:rFonts w:ascii="Tms Rmn" w:hAnsi="Tms Rmn" w:cs="Tms Rmn"/>
                <w:color w:val="000000"/>
                <w:kern w:val="0"/>
                <w:sz w:val="24"/>
                <w:szCs w:val="24"/>
              </w:rPr>
              <w:br/>
              <w:t>MAP Working Group 2</w:t>
            </w:r>
          </w:p>
        </w:tc>
        <w:tc>
          <w:tcPr>
            <w:tcW w:w="1250" w:type="pct"/>
            <w:tcBorders>
              <w:top w:val="single" w:sz="6" w:space="0" w:color="auto"/>
              <w:left w:val="single" w:sz="6" w:space="0" w:color="auto"/>
              <w:bottom w:val="single" w:sz="6" w:space="0" w:color="auto"/>
              <w:right w:val="single" w:sz="6" w:space="0" w:color="auto"/>
            </w:tcBorders>
          </w:tcPr>
          <w:p w14:paraId="4A506949"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Under the Ministerial Action Plan on Planning Resources, Working Group 1 was set up to focus on Education:</w:t>
            </w:r>
            <w:r>
              <w:rPr>
                <w:rFonts w:ascii="Tms Rmn" w:hAnsi="Tms Rmn" w:cs="Tms Rmn"/>
                <w:color w:val="000000"/>
                <w:kern w:val="0"/>
                <w:sz w:val="24"/>
                <w:szCs w:val="24"/>
              </w:rPr>
              <w:br/>
              <w:t>(</w:t>
            </w:r>
            <w:proofErr w:type="spellStart"/>
            <w:r>
              <w:rPr>
                <w:rFonts w:ascii="Tms Rmn" w:hAnsi="Tms Rmn" w:cs="Tms Rmn"/>
                <w:color w:val="000000"/>
                <w:kern w:val="0"/>
                <w:sz w:val="24"/>
                <w:szCs w:val="24"/>
              </w:rPr>
              <w:t>i</w:t>
            </w:r>
            <w:proofErr w:type="spellEnd"/>
            <w:r>
              <w:rPr>
                <w:rFonts w:ascii="Tms Rmn" w:hAnsi="Tms Rmn" w:cs="Tms Rmn"/>
                <w:color w:val="000000"/>
                <w:kern w:val="0"/>
                <w:sz w:val="24"/>
                <w:szCs w:val="24"/>
              </w:rPr>
              <w:t>) Increase up-take of undergraduate and postgraduate places on accredited planning courses in Ireland</w:t>
            </w:r>
            <w:r>
              <w:rPr>
                <w:rFonts w:ascii="Tms Rmn" w:hAnsi="Tms Rmn" w:cs="Tms Rmn"/>
                <w:color w:val="000000"/>
                <w:kern w:val="0"/>
                <w:sz w:val="24"/>
                <w:szCs w:val="24"/>
              </w:rPr>
              <w:br/>
              <w:t xml:space="preserve">(ii) Increase number of student places available on accredited undergraduate and postgraduate planning courses and explore potential for new planning courses, </w:t>
            </w:r>
            <w:r>
              <w:rPr>
                <w:rFonts w:ascii="Tms Rmn" w:hAnsi="Tms Rmn" w:cs="Tms Rmn"/>
                <w:color w:val="000000"/>
                <w:kern w:val="0"/>
                <w:sz w:val="24"/>
                <w:szCs w:val="24"/>
              </w:rPr>
              <w:br/>
              <w:t>(iii) Develop new education pathways towards professional planning careers that include opportunities to train to a level equivalent to universities over time e.g. through apprenticeship and micro-credentials models</w:t>
            </w:r>
            <w:r>
              <w:rPr>
                <w:rFonts w:ascii="Tms Rmn" w:hAnsi="Tms Rmn" w:cs="Tms Rmn"/>
                <w:color w:val="000000"/>
                <w:kern w:val="0"/>
                <w:sz w:val="24"/>
                <w:szCs w:val="24"/>
              </w:rPr>
              <w:br/>
              <w:t xml:space="preserve"> </w:t>
            </w:r>
            <w:r>
              <w:rPr>
                <w:rFonts w:ascii="Tms Rmn" w:hAnsi="Tms Rmn" w:cs="Tms Rmn"/>
                <w:color w:val="000000"/>
                <w:kern w:val="0"/>
                <w:sz w:val="24"/>
                <w:szCs w:val="24"/>
              </w:rPr>
              <w:br/>
              <w:t>Under the Ministerial Action Plan on Planning Resources, Working Group 2 was set up to focus on</w:t>
            </w:r>
            <w:r>
              <w:rPr>
                <w:rFonts w:ascii="Tms Rmn" w:hAnsi="Tms Rmn" w:cs="Tms Rmn"/>
                <w:color w:val="000000"/>
                <w:kern w:val="0"/>
                <w:sz w:val="24"/>
                <w:szCs w:val="24"/>
              </w:rPr>
              <w:br/>
              <w:t>National Recruitment:</w:t>
            </w:r>
            <w:r>
              <w:rPr>
                <w:rFonts w:ascii="Tms Rmn" w:hAnsi="Tms Rmn" w:cs="Tms Rmn"/>
                <w:color w:val="000000"/>
                <w:kern w:val="0"/>
                <w:sz w:val="24"/>
                <w:szCs w:val="24"/>
              </w:rPr>
              <w:br/>
              <w:t>(</w:t>
            </w:r>
            <w:proofErr w:type="spellStart"/>
            <w:r>
              <w:rPr>
                <w:rFonts w:ascii="Tms Rmn" w:hAnsi="Tms Rmn" w:cs="Tms Rmn"/>
                <w:color w:val="000000"/>
                <w:kern w:val="0"/>
                <w:sz w:val="24"/>
                <w:szCs w:val="24"/>
              </w:rPr>
              <w:t>i</w:t>
            </w:r>
            <w:proofErr w:type="spellEnd"/>
            <w:r>
              <w:rPr>
                <w:rFonts w:ascii="Tms Rmn" w:hAnsi="Tms Rmn" w:cs="Tms Rmn"/>
                <w:color w:val="000000"/>
                <w:kern w:val="0"/>
                <w:sz w:val="24"/>
                <w:szCs w:val="24"/>
              </w:rPr>
              <w:t xml:space="preserve">) Introduce a coordinated graduate planner recruitment campaign(s) for the local government and public sectors. The campaign(s) should include a mentoring and support programme that is specific to graduate planner posts and a </w:t>
            </w:r>
            <w:r>
              <w:rPr>
                <w:rFonts w:ascii="Tms Rmn" w:hAnsi="Tms Rmn" w:cs="Tms Rmn"/>
                <w:color w:val="000000"/>
                <w:kern w:val="0"/>
                <w:sz w:val="24"/>
                <w:szCs w:val="24"/>
              </w:rPr>
              <w:lastRenderedPageBreak/>
              <w:t xml:space="preserve">specific training programme to assist graduates develop the necessary skills needed to advance their career                   </w:t>
            </w:r>
            <w:r>
              <w:rPr>
                <w:rFonts w:ascii="Tms Rmn" w:hAnsi="Tms Rmn" w:cs="Tms Rmn"/>
                <w:color w:val="000000"/>
                <w:kern w:val="0"/>
                <w:sz w:val="24"/>
                <w:szCs w:val="24"/>
              </w:rPr>
              <w:br/>
              <w:t>(ii) Design and action a focused and targeted programme to support the restart of planning careers in the public sector and address barriers to re-entry. The campaign should seek to reintegrate professionals in a full time or part-time capacity and provide mentoring and training to support re-entry</w:t>
            </w:r>
          </w:p>
        </w:tc>
        <w:tc>
          <w:tcPr>
            <w:tcW w:w="1250" w:type="pct"/>
            <w:tcBorders>
              <w:top w:val="single" w:sz="6" w:space="0" w:color="auto"/>
              <w:left w:val="single" w:sz="6" w:space="0" w:color="auto"/>
              <w:bottom w:val="single" w:sz="6" w:space="0" w:color="auto"/>
              <w:right w:val="single" w:sz="6" w:space="0" w:color="auto"/>
            </w:tcBorders>
          </w:tcPr>
          <w:p w14:paraId="09E3FC2D"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lastRenderedPageBreak/>
              <w:t>Quarterly</w:t>
            </w:r>
            <w:r>
              <w:rPr>
                <w:rFonts w:ascii="Tms Rmn" w:hAnsi="Tms Rmn" w:cs="Tms Rmn"/>
                <w:color w:val="000000"/>
                <w:kern w:val="0"/>
                <w:sz w:val="24"/>
                <w:szCs w:val="24"/>
              </w:rPr>
              <w:br/>
              <w:t xml:space="preserve"> </w:t>
            </w:r>
            <w:r>
              <w:rPr>
                <w:rFonts w:ascii="Tms Rmn" w:hAnsi="Tms Rmn" w:cs="Tms Rmn"/>
                <w:color w:val="000000"/>
                <w:kern w:val="0"/>
                <w:sz w:val="24"/>
                <w:szCs w:val="24"/>
              </w:rPr>
              <w:br/>
              <w:t xml:space="preserve"> </w:t>
            </w:r>
            <w:r>
              <w:rPr>
                <w:rFonts w:ascii="Tms Rmn" w:hAnsi="Tms Rmn" w:cs="Tms Rmn"/>
                <w:color w:val="000000"/>
                <w:kern w:val="0"/>
                <w:sz w:val="24"/>
                <w:szCs w:val="24"/>
              </w:rPr>
              <w:br/>
              <w:t xml:space="preserve"> </w:t>
            </w:r>
            <w:r>
              <w:rPr>
                <w:rFonts w:ascii="Tms Rmn" w:hAnsi="Tms Rmn" w:cs="Tms Rmn"/>
                <w:color w:val="000000"/>
                <w:kern w:val="0"/>
                <w:sz w:val="24"/>
                <w:szCs w:val="24"/>
              </w:rPr>
              <w:br/>
              <w:t xml:space="preserve"> </w:t>
            </w:r>
            <w:r>
              <w:rPr>
                <w:rFonts w:ascii="Tms Rmn" w:hAnsi="Tms Rmn" w:cs="Tms Rmn"/>
                <w:color w:val="000000"/>
                <w:kern w:val="0"/>
                <w:sz w:val="24"/>
                <w:szCs w:val="24"/>
              </w:rPr>
              <w:br/>
              <w:t xml:space="preserve"> </w:t>
            </w:r>
            <w:r>
              <w:rPr>
                <w:rFonts w:ascii="Tms Rmn" w:hAnsi="Tms Rmn" w:cs="Tms Rmn"/>
                <w:color w:val="000000"/>
                <w:kern w:val="0"/>
                <w:sz w:val="24"/>
                <w:szCs w:val="24"/>
              </w:rPr>
              <w:br/>
              <w:t xml:space="preserve"> </w:t>
            </w:r>
            <w:r>
              <w:rPr>
                <w:rFonts w:ascii="Tms Rmn" w:hAnsi="Tms Rmn" w:cs="Tms Rmn"/>
                <w:color w:val="000000"/>
                <w:kern w:val="0"/>
                <w:sz w:val="24"/>
                <w:szCs w:val="24"/>
              </w:rPr>
              <w:br/>
              <w:t xml:space="preserve"> </w:t>
            </w:r>
            <w:r>
              <w:rPr>
                <w:rFonts w:ascii="Tms Rmn" w:hAnsi="Tms Rmn" w:cs="Tms Rmn"/>
                <w:color w:val="000000"/>
                <w:kern w:val="0"/>
                <w:sz w:val="24"/>
                <w:szCs w:val="24"/>
              </w:rPr>
              <w:br/>
              <w:t xml:space="preserve"> </w:t>
            </w:r>
            <w:r>
              <w:rPr>
                <w:rFonts w:ascii="Tms Rmn" w:hAnsi="Tms Rmn" w:cs="Tms Rmn"/>
                <w:color w:val="000000"/>
                <w:kern w:val="0"/>
                <w:sz w:val="24"/>
                <w:szCs w:val="24"/>
              </w:rPr>
              <w:br/>
              <w:t xml:space="preserve"> </w:t>
            </w:r>
            <w:r>
              <w:rPr>
                <w:rFonts w:ascii="Tms Rmn" w:hAnsi="Tms Rmn" w:cs="Tms Rmn"/>
                <w:color w:val="000000"/>
                <w:kern w:val="0"/>
                <w:sz w:val="24"/>
                <w:szCs w:val="24"/>
              </w:rPr>
              <w:br/>
              <w:t xml:space="preserve"> </w:t>
            </w:r>
            <w:r>
              <w:rPr>
                <w:rFonts w:ascii="Tms Rmn" w:hAnsi="Tms Rmn" w:cs="Tms Rmn"/>
                <w:color w:val="000000"/>
                <w:kern w:val="0"/>
                <w:sz w:val="24"/>
                <w:szCs w:val="24"/>
              </w:rPr>
              <w:br/>
            </w:r>
            <w:proofErr w:type="spellStart"/>
            <w:r>
              <w:rPr>
                <w:rFonts w:ascii="Tms Rmn" w:hAnsi="Tms Rmn" w:cs="Tms Rmn"/>
                <w:color w:val="000000"/>
                <w:kern w:val="0"/>
                <w:sz w:val="24"/>
                <w:szCs w:val="24"/>
              </w:rPr>
              <w:t>Quarterly</w:t>
            </w:r>
            <w:proofErr w:type="spellEnd"/>
            <w:r>
              <w:rPr>
                <w:rFonts w:ascii="Tms Rmn" w:hAnsi="Tms Rmn" w:cs="Tms Rmn"/>
                <w:color w:val="000000"/>
                <w:kern w:val="0"/>
                <w:sz w:val="24"/>
                <w:szCs w:val="24"/>
              </w:rPr>
              <w:t xml:space="preserve"> </w:t>
            </w:r>
          </w:p>
        </w:tc>
      </w:tr>
      <w:tr w:rsidR="00364043" w14:paraId="257EEC89" w14:textId="77777777">
        <w:tc>
          <w:tcPr>
            <w:tcW w:w="1250" w:type="pct"/>
            <w:tcBorders>
              <w:top w:val="single" w:sz="6" w:space="0" w:color="auto"/>
              <w:left w:val="single" w:sz="6" w:space="0" w:color="auto"/>
              <w:bottom w:val="single" w:sz="6" w:space="0" w:color="auto"/>
              <w:right w:val="single" w:sz="6" w:space="0" w:color="auto"/>
            </w:tcBorders>
          </w:tcPr>
          <w:p w14:paraId="6C2F2369"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lastRenderedPageBreak/>
              <w:t xml:space="preserve">  </w:t>
            </w:r>
          </w:p>
        </w:tc>
        <w:tc>
          <w:tcPr>
            <w:tcW w:w="1250" w:type="pct"/>
            <w:tcBorders>
              <w:top w:val="single" w:sz="6" w:space="0" w:color="auto"/>
              <w:left w:val="single" w:sz="6" w:space="0" w:color="auto"/>
              <w:bottom w:val="single" w:sz="6" w:space="0" w:color="auto"/>
              <w:right w:val="single" w:sz="6" w:space="0" w:color="auto"/>
            </w:tcBorders>
          </w:tcPr>
          <w:p w14:paraId="676E5B11"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 </w:t>
            </w:r>
            <w:r>
              <w:rPr>
                <w:rFonts w:ascii="Tms Rmn" w:hAnsi="Tms Rmn" w:cs="Tms Rmn"/>
                <w:color w:val="000000"/>
                <w:kern w:val="0"/>
                <w:sz w:val="24"/>
                <w:szCs w:val="24"/>
              </w:rPr>
              <w:br/>
              <w:t xml:space="preserve"> </w:t>
            </w:r>
            <w:r>
              <w:rPr>
                <w:rFonts w:ascii="Tms Rmn" w:hAnsi="Tms Rmn" w:cs="Tms Rmn"/>
                <w:color w:val="000000"/>
                <w:kern w:val="0"/>
                <w:sz w:val="24"/>
                <w:szCs w:val="24"/>
              </w:rPr>
              <w:br/>
              <w:t>MAP Working Group 3</w:t>
            </w:r>
            <w:r>
              <w:rPr>
                <w:rFonts w:ascii="Tms Rmn" w:hAnsi="Tms Rmn" w:cs="Tms Rmn"/>
                <w:color w:val="000000"/>
                <w:kern w:val="0"/>
                <w:sz w:val="24"/>
                <w:szCs w:val="24"/>
              </w:rPr>
              <w:br/>
              <w:t xml:space="preserve"> </w:t>
            </w:r>
            <w:r>
              <w:rPr>
                <w:rFonts w:ascii="Tms Rmn" w:hAnsi="Tms Rmn" w:cs="Tms Rmn"/>
                <w:color w:val="000000"/>
                <w:kern w:val="0"/>
                <w:sz w:val="24"/>
                <w:szCs w:val="24"/>
              </w:rPr>
              <w:br/>
              <w:t xml:space="preserve"> </w:t>
            </w:r>
            <w:r>
              <w:rPr>
                <w:rFonts w:ascii="Tms Rmn" w:hAnsi="Tms Rmn" w:cs="Tms Rmn"/>
                <w:color w:val="000000"/>
                <w:kern w:val="0"/>
                <w:sz w:val="24"/>
                <w:szCs w:val="24"/>
              </w:rPr>
              <w:br/>
              <w:t xml:space="preserve"> </w:t>
            </w:r>
            <w:r>
              <w:rPr>
                <w:rFonts w:ascii="Tms Rmn" w:hAnsi="Tms Rmn" w:cs="Tms Rmn"/>
                <w:color w:val="000000"/>
                <w:kern w:val="0"/>
                <w:sz w:val="24"/>
                <w:szCs w:val="24"/>
              </w:rPr>
              <w:br/>
              <w:t xml:space="preserve"> </w:t>
            </w:r>
            <w:r>
              <w:rPr>
                <w:rFonts w:ascii="Tms Rmn" w:hAnsi="Tms Rmn" w:cs="Tms Rmn"/>
                <w:color w:val="000000"/>
                <w:kern w:val="0"/>
                <w:sz w:val="24"/>
                <w:szCs w:val="24"/>
              </w:rPr>
              <w:br/>
              <w:t xml:space="preserve"> </w:t>
            </w:r>
            <w:r>
              <w:rPr>
                <w:rFonts w:ascii="Tms Rmn" w:hAnsi="Tms Rmn" w:cs="Tms Rmn"/>
                <w:color w:val="000000"/>
                <w:kern w:val="0"/>
                <w:sz w:val="24"/>
                <w:szCs w:val="24"/>
              </w:rPr>
              <w:br/>
              <w:t xml:space="preserve"> </w:t>
            </w:r>
            <w:r>
              <w:rPr>
                <w:rFonts w:ascii="Tms Rmn" w:hAnsi="Tms Rmn" w:cs="Tms Rmn"/>
                <w:color w:val="000000"/>
                <w:kern w:val="0"/>
                <w:sz w:val="24"/>
                <w:szCs w:val="24"/>
              </w:rPr>
              <w:br/>
              <w:t xml:space="preserve"> </w:t>
            </w:r>
            <w:r>
              <w:rPr>
                <w:rFonts w:ascii="Tms Rmn" w:hAnsi="Tms Rmn" w:cs="Tms Rmn"/>
                <w:color w:val="000000"/>
                <w:kern w:val="0"/>
                <w:sz w:val="24"/>
                <w:szCs w:val="24"/>
              </w:rPr>
              <w:br/>
              <w:t xml:space="preserve"> </w:t>
            </w:r>
            <w:r>
              <w:rPr>
                <w:rFonts w:ascii="Tms Rmn" w:hAnsi="Tms Rmn" w:cs="Tms Rmn"/>
                <w:color w:val="000000"/>
                <w:kern w:val="0"/>
                <w:sz w:val="24"/>
                <w:szCs w:val="24"/>
              </w:rPr>
              <w:br/>
              <w:t xml:space="preserve"> </w:t>
            </w:r>
            <w:r>
              <w:rPr>
                <w:rFonts w:ascii="Tms Rmn" w:hAnsi="Tms Rmn" w:cs="Tms Rmn"/>
                <w:color w:val="000000"/>
                <w:kern w:val="0"/>
                <w:sz w:val="24"/>
                <w:szCs w:val="24"/>
              </w:rPr>
              <w:br/>
              <w:t xml:space="preserve"> </w:t>
            </w:r>
            <w:r>
              <w:rPr>
                <w:rFonts w:ascii="Tms Rmn" w:hAnsi="Tms Rmn" w:cs="Tms Rmn"/>
                <w:color w:val="000000"/>
                <w:kern w:val="0"/>
                <w:sz w:val="24"/>
                <w:szCs w:val="24"/>
              </w:rPr>
              <w:br/>
              <w:t xml:space="preserve"> </w:t>
            </w:r>
            <w:r>
              <w:rPr>
                <w:rFonts w:ascii="Tms Rmn" w:hAnsi="Tms Rmn" w:cs="Tms Rmn"/>
                <w:color w:val="000000"/>
                <w:kern w:val="0"/>
                <w:sz w:val="24"/>
                <w:szCs w:val="24"/>
              </w:rPr>
              <w:br/>
              <w:t>MAP Working Group 4</w:t>
            </w:r>
          </w:p>
        </w:tc>
        <w:tc>
          <w:tcPr>
            <w:tcW w:w="1250" w:type="pct"/>
            <w:tcBorders>
              <w:top w:val="single" w:sz="6" w:space="0" w:color="auto"/>
              <w:left w:val="single" w:sz="6" w:space="0" w:color="auto"/>
              <w:bottom w:val="single" w:sz="6" w:space="0" w:color="auto"/>
              <w:right w:val="single" w:sz="6" w:space="0" w:color="auto"/>
            </w:tcBorders>
          </w:tcPr>
          <w:p w14:paraId="0FA898FC"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Under the Ministerial Action Plan on Planning Resources, Working Group 3 was set up to focus on International Recruitment:</w:t>
            </w:r>
            <w:r>
              <w:rPr>
                <w:rFonts w:ascii="Tms Rmn" w:hAnsi="Tms Rmn" w:cs="Tms Rmn"/>
                <w:color w:val="000000"/>
                <w:kern w:val="0"/>
                <w:sz w:val="24"/>
                <w:szCs w:val="24"/>
              </w:rPr>
              <w:br/>
              <w:t>(</w:t>
            </w:r>
            <w:proofErr w:type="spellStart"/>
            <w:r>
              <w:rPr>
                <w:rFonts w:ascii="Tms Rmn" w:hAnsi="Tms Rmn" w:cs="Tms Rmn"/>
                <w:color w:val="000000"/>
                <w:kern w:val="0"/>
                <w:sz w:val="24"/>
                <w:szCs w:val="24"/>
              </w:rPr>
              <w:t>i</w:t>
            </w:r>
            <w:proofErr w:type="spellEnd"/>
            <w:r>
              <w:rPr>
                <w:rFonts w:ascii="Tms Rmn" w:hAnsi="Tms Rmn" w:cs="Tms Rmn"/>
                <w:color w:val="000000"/>
                <w:kern w:val="0"/>
                <w:sz w:val="24"/>
                <w:szCs w:val="24"/>
              </w:rPr>
              <w:t xml:space="preserve">) implement a focused programme targeting graduate planners and related professionals who have completed their education in Ireland, and are abroad, to encourage and support their return                                      </w:t>
            </w:r>
            <w:r>
              <w:rPr>
                <w:rFonts w:ascii="Tms Rmn" w:hAnsi="Tms Rmn" w:cs="Tms Rmn"/>
                <w:color w:val="000000"/>
                <w:kern w:val="0"/>
                <w:sz w:val="24"/>
                <w:szCs w:val="24"/>
              </w:rPr>
              <w:br/>
              <w:t>(ii) implement a focused and effective relocation scheme to encourage and support the return of experienced planners who have completed their education in Ireland, and are abroad</w:t>
            </w:r>
            <w:r>
              <w:rPr>
                <w:rFonts w:ascii="Tms Rmn" w:hAnsi="Tms Rmn" w:cs="Tms Rmn"/>
                <w:color w:val="000000"/>
                <w:kern w:val="0"/>
                <w:sz w:val="24"/>
                <w:szCs w:val="24"/>
              </w:rPr>
              <w:br/>
              <w:t>(iii) Run an impactful and targeted recruitment campaign in the UK and European Economic Area to attract professional planners to Ireland</w:t>
            </w:r>
            <w:r>
              <w:rPr>
                <w:rFonts w:ascii="Tms Rmn" w:hAnsi="Tms Rmn" w:cs="Tms Rmn"/>
                <w:color w:val="000000"/>
                <w:kern w:val="0"/>
                <w:sz w:val="24"/>
                <w:szCs w:val="24"/>
              </w:rPr>
              <w:br/>
              <w:t>(iv) Ensure the addition of the profession of planner to the Critical Skills Occupation List</w:t>
            </w:r>
            <w:r>
              <w:rPr>
                <w:rFonts w:ascii="Tms Rmn" w:hAnsi="Tms Rmn" w:cs="Tms Rmn"/>
                <w:color w:val="000000"/>
                <w:kern w:val="0"/>
                <w:sz w:val="24"/>
                <w:szCs w:val="24"/>
              </w:rPr>
              <w:br/>
              <w:t xml:space="preserve"> </w:t>
            </w:r>
            <w:r>
              <w:rPr>
                <w:rFonts w:ascii="Tms Rmn" w:hAnsi="Tms Rmn" w:cs="Tms Rmn"/>
                <w:color w:val="000000"/>
                <w:kern w:val="0"/>
                <w:sz w:val="24"/>
                <w:szCs w:val="24"/>
              </w:rPr>
              <w:br/>
              <w:t>Under the Ministerial Action Plan on Planning Resources, Working Group 4 was set up to focus on System Review:</w:t>
            </w:r>
            <w:r>
              <w:rPr>
                <w:rFonts w:ascii="Tms Rmn" w:hAnsi="Tms Rmn" w:cs="Tms Rmn"/>
                <w:color w:val="000000"/>
                <w:kern w:val="0"/>
                <w:sz w:val="24"/>
                <w:szCs w:val="24"/>
              </w:rPr>
              <w:br/>
              <w:t>(</w:t>
            </w:r>
            <w:proofErr w:type="spellStart"/>
            <w:r>
              <w:rPr>
                <w:rFonts w:ascii="Tms Rmn" w:hAnsi="Tms Rmn" w:cs="Tms Rmn"/>
                <w:color w:val="000000"/>
                <w:kern w:val="0"/>
                <w:sz w:val="24"/>
                <w:szCs w:val="24"/>
              </w:rPr>
              <w:t>i</w:t>
            </w:r>
            <w:proofErr w:type="spellEnd"/>
            <w:r>
              <w:rPr>
                <w:rFonts w:ascii="Tms Rmn" w:hAnsi="Tms Rmn" w:cs="Tms Rmn"/>
                <w:color w:val="000000"/>
                <w:kern w:val="0"/>
                <w:sz w:val="24"/>
                <w:szCs w:val="24"/>
              </w:rPr>
              <w:t xml:space="preserve">) Undertake a review of the qualifications requirements for planning posts within </w:t>
            </w:r>
            <w:r>
              <w:rPr>
                <w:rFonts w:ascii="Tms Rmn" w:hAnsi="Tms Rmn" w:cs="Tms Rmn"/>
                <w:color w:val="000000"/>
                <w:kern w:val="0"/>
                <w:sz w:val="24"/>
                <w:szCs w:val="24"/>
              </w:rPr>
              <w:lastRenderedPageBreak/>
              <w:t xml:space="preserve">the Local Government sector to ensure that the requirements are suitable and that the sector can attract as wide a pool of talent as possible and report with recommendations for improvement.                                  </w:t>
            </w:r>
            <w:r>
              <w:rPr>
                <w:rFonts w:ascii="Tms Rmn" w:hAnsi="Tms Rmn" w:cs="Tms Rmn"/>
                <w:color w:val="000000"/>
                <w:kern w:val="0"/>
                <w:sz w:val="24"/>
                <w:szCs w:val="24"/>
              </w:rPr>
              <w:br/>
              <w:t xml:space="preserve">(ii) Examine current recruitment methods for professional planners and related professionals within local government and public sector organisations and report with recommendations for improvement.                                    (iii) Identify opportunities to enhance retention of professional planners and related professionals within local government and public sector organisations                       </w:t>
            </w:r>
            <w:r>
              <w:rPr>
                <w:rFonts w:ascii="Tms Rmn" w:hAnsi="Tms Rmn" w:cs="Tms Rmn"/>
                <w:color w:val="000000"/>
                <w:kern w:val="0"/>
                <w:sz w:val="24"/>
                <w:szCs w:val="24"/>
              </w:rPr>
              <w:br/>
              <w:t xml:space="preserve">(iv) Undertake a comprehensive and strategic analysis of the longer-term requirement for professional planners and related professionals, based on the current age profile of professionals within the system </w:t>
            </w:r>
          </w:p>
        </w:tc>
        <w:tc>
          <w:tcPr>
            <w:tcW w:w="1250" w:type="pct"/>
            <w:tcBorders>
              <w:top w:val="single" w:sz="6" w:space="0" w:color="auto"/>
              <w:left w:val="single" w:sz="6" w:space="0" w:color="auto"/>
              <w:bottom w:val="single" w:sz="6" w:space="0" w:color="auto"/>
              <w:right w:val="single" w:sz="6" w:space="0" w:color="auto"/>
            </w:tcBorders>
          </w:tcPr>
          <w:p w14:paraId="5201AE0C"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lastRenderedPageBreak/>
              <w:t>Quarterly</w:t>
            </w:r>
            <w:r>
              <w:rPr>
                <w:rFonts w:ascii="Tms Rmn" w:hAnsi="Tms Rmn" w:cs="Tms Rmn"/>
                <w:color w:val="000000"/>
                <w:kern w:val="0"/>
                <w:sz w:val="24"/>
                <w:szCs w:val="24"/>
              </w:rPr>
              <w:br/>
              <w:t xml:space="preserve"> </w:t>
            </w:r>
            <w:r>
              <w:rPr>
                <w:rFonts w:ascii="Tms Rmn" w:hAnsi="Tms Rmn" w:cs="Tms Rmn"/>
                <w:color w:val="000000"/>
                <w:kern w:val="0"/>
                <w:sz w:val="24"/>
                <w:szCs w:val="24"/>
              </w:rPr>
              <w:br/>
              <w:t xml:space="preserve"> </w:t>
            </w:r>
            <w:r>
              <w:rPr>
                <w:rFonts w:ascii="Tms Rmn" w:hAnsi="Tms Rmn" w:cs="Tms Rmn"/>
                <w:color w:val="000000"/>
                <w:kern w:val="0"/>
                <w:sz w:val="24"/>
                <w:szCs w:val="24"/>
              </w:rPr>
              <w:br/>
              <w:t xml:space="preserve"> </w:t>
            </w:r>
            <w:r>
              <w:rPr>
                <w:rFonts w:ascii="Tms Rmn" w:hAnsi="Tms Rmn" w:cs="Tms Rmn"/>
                <w:color w:val="000000"/>
                <w:kern w:val="0"/>
                <w:sz w:val="24"/>
                <w:szCs w:val="24"/>
              </w:rPr>
              <w:br/>
              <w:t xml:space="preserve"> </w:t>
            </w:r>
            <w:r>
              <w:rPr>
                <w:rFonts w:ascii="Tms Rmn" w:hAnsi="Tms Rmn" w:cs="Tms Rmn"/>
                <w:color w:val="000000"/>
                <w:kern w:val="0"/>
                <w:sz w:val="24"/>
                <w:szCs w:val="24"/>
              </w:rPr>
              <w:br/>
              <w:t xml:space="preserve"> </w:t>
            </w:r>
            <w:r>
              <w:rPr>
                <w:rFonts w:ascii="Tms Rmn" w:hAnsi="Tms Rmn" w:cs="Tms Rmn"/>
                <w:color w:val="000000"/>
                <w:kern w:val="0"/>
                <w:sz w:val="24"/>
                <w:szCs w:val="24"/>
              </w:rPr>
              <w:br/>
              <w:t xml:space="preserve"> </w:t>
            </w:r>
            <w:r>
              <w:rPr>
                <w:rFonts w:ascii="Tms Rmn" w:hAnsi="Tms Rmn" w:cs="Tms Rmn"/>
                <w:color w:val="000000"/>
                <w:kern w:val="0"/>
                <w:sz w:val="24"/>
                <w:szCs w:val="24"/>
              </w:rPr>
              <w:br/>
              <w:t xml:space="preserve"> </w:t>
            </w:r>
            <w:r>
              <w:rPr>
                <w:rFonts w:ascii="Tms Rmn" w:hAnsi="Tms Rmn" w:cs="Tms Rmn"/>
                <w:color w:val="000000"/>
                <w:kern w:val="0"/>
                <w:sz w:val="24"/>
                <w:szCs w:val="24"/>
              </w:rPr>
              <w:br/>
              <w:t xml:space="preserve"> </w:t>
            </w:r>
            <w:r>
              <w:rPr>
                <w:rFonts w:ascii="Tms Rmn" w:hAnsi="Tms Rmn" w:cs="Tms Rmn"/>
                <w:color w:val="000000"/>
                <w:kern w:val="0"/>
                <w:sz w:val="24"/>
                <w:szCs w:val="24"/>
              </w:rPr>
              <w:br/>
              <w:t xml:space="preserve"> </w:t>
            </w:r>
            <w:r>
              <w:rPr>
                <w:rFonts w:ascii="Tms Rmn" w:hAnsi="Tms Rmn" w:cs="Tms Rmn"/>
                <w:color w:val="000000"/>
                <w:kern w:val="0"/>
                <w:sz w:val="24"/>
                <w:szCs w:val="24"/>
              </w:rPr>
              <w:br/>
              <w:t xml:space="preserve"> </w:t>
            </w:r>
            <w:r>
              <w:rPr>
                <w:rFonts w:ascii="Tms Rmn" w:hAnsi="Tms Rmn" w:cs="Tms Rmn"/>
                <w:color w:val="000000"/>
                <w:kern w:val="0"/>
                <w:sz w:val="24"/>
                <w:szCs w:val="24"/>
              </w:rPr>
              <w:br/>
              <w:t xml:space="preserve"> </w:t>
            </w:r>
            <w:r>
              <w:rPr>
                <w:rFonts w:ascii="Tms Rmn" w:hAnsi="Tms Rmn" w:cs="Tms Rmn"/>
                <w:color w:val="000000"/>
                <w:kern w:val="0"/>
                <w:sz w:val="24"/>
                <w:szCs w:val="24"/>
              </w:rPr>
              <w:br/>
              <w:t xml:space="preserve"> </w:t>
            </w:r>
            <w:r>
              <w:rPr>
                <w:rFonts w:ascii="Tms Rmn" w:hAnsi="Tms Rmn" w:cs="Tms Rmn"/>
                <w:color w:val="000000"/>
                <w:kern w:val="0"/>
                <w:sz w:val="24"/>
                <w:szCs w:val="24"/>
              </w:rPr>
              <w:br/>
            </w:r>
            <w:proofErr w:type="spellStart"/>
            <w:r>
              <w:rPr>
                <w:rFonts w:ascii="Tms Rmn" w:hAnsi="Tms Rmn" w:cs="Tms Rmn"/>
                <w:color w:val="000000"/>
                <w:kern w:val="0"/>
                <w:sz w:val="24"/>
                <w:szCs w:val="24"/>
              </w:rPr>
              <w:t>Quarterly</w:t>
            </w:r>
            <w:proofErr w:type="spellEnd"/>
            <w:r>
              <w:rPr>
                <w:rFonts w:ascii="Tms Rmn" w:hAnsi="Tms Rmn" w:cs="Tms Rmn"/>
                <w:color w:val="000000"/>
                <w:kern w:val="0"/>
                <w:sz w:val="24"/>
                <w:szCs w:val="24"/>
              </w:rPr>
              <w:t xml:space="preserve"> </w:t>
            </w:r>
          </w:p>
        </w:tc>
      </w:tr>
      <w:tr w:rsidR="00364043" w14:paraId="02423DD4" w14:textId="77777777">
        <w:tc>
          <w:tcPr>
            <w:tcW w:w="1250" w:type="pct"/>
            <w:tcBorders>
              <w:top w:val="single" w:sz="6" w:space="0" w:color="auto"/>
              <w:left w:val="single" w:sz="6" w:space="0" w:color="auto"/>
              <w:bottom w:val="single" w:sz="6" w:space="0" w:color="auto"/>
              <w:right w:val="single" w:sz="6" w:space="0" w:color="auto"/>
            </w:tcBorders>
          </w:tcPr>
          <w:p w14:paraId="11450602"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lastRenderedPageBreak/>
              <w:t xml:space="preserve">  </w:t>
            </w:r>
          </w:p>
        </w:tc>
        <w:tc>
          <w:tcPr>
            <w:tcW w:w="1250" w:type="pct"/>
            <w:tcBorders>
              <w:top w:val="single" w:sz="6" w:space="0" w:color="auto"/>
              <w:left w:val="single" w:sz="6" w:space="0" w:color="auto"/>
              <w:bottom w:val="single" w:sz="6" w:space="0" w:color="auto"/>
              <w:right w:val="single" w:sz="6" w:space="0" w:color="auto"/>
            </w:tcBorders>
          </w:tcPr>
          <w:p w14:paraId="20044415"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MAP Working Group 5 </w:t>
            </w:r>
          </w:p>
        </w:tc>
        <w:tc>
          <w:tcPr>
            <w:tcW w:w="1250" w:type="pct"/>
            <w:tcBorders>
              <w:top w:val="single" w:sz="6" w:space="0" w:color="auto"/>
              <w:left w:val="single" w:sz="6" w:space="0" w:color="auto"/>
              <w:bottom w:val="single" w:sz="6" w:space="0" w:color="auto"/>
              <w:right w:val="single" w:sz="6" w:space="0" w:color="auto"/>
            </w:tcBorders>
          </w:tcPr>
          <w:p w14:paraId="5EB4ACCC"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Under the Ministerial Action Plan on Planning Resources, Working Group 5 was set up to focus on Innovation &amp; Efficiency:                   </w:t>
            </w:r>
            <w:r>
              <w:rPr>
                <w:rFonts w:ascii="Tms Rmn" w:hAnsi="Tms Rmn" w:cs="Tms Rmn"/>
                <w:color w:val="000000"/>
                <w:kern w:val="0"/>
                <w:sz w:val="24"/>
                <w:szCs w:val="24"/>
              </w:rPr>
              <w:br/>
              <w:t>(</w:t>
            </w:r>
            <w:proofErr w:type="spellStart"/>
            <w:r>
              <w:rPr>
                <w:rFonts w:ascii="Tms Rmn" w:hAnsi="Tms Rmn" w:cs="Tms Rmn"/>
                <w:color w:val="000000"/>
                <w:kern w:val="0"/>
                <w:sz w:val="24"/>
                <w:szCs w:val="24"/>
              </w:rPr>
              <w:t>i</w:t>
            </w:r>
            <w:proofErr w:type="spellEnd"/>
            <w:r>
              <w:rPr>
                <w:rFonts w:ascii="Tms Rmn" w:hAnsi="Tms Rmn" w:cs="Tms Rmn"/>
                <w:color w:val="000000"/>
                <w:kern w:val="0"/>
                <w:sz w:val="24"/>
                <w:szCs w:val="24"/>
              </w:rPr>
              <w:t>) Identify opportunities for innovation and efficiency and report with recommendations for action</w:t>
            </w:r>
          </w:p>
        </w:tc>
        <w:tc>
          <w:tcPr>
            <w:tcW w:w="1250" w:type="pct"/>
            <w:tcBorders>
              <w:top w:val="single" w:sz="6" w:space="0" w:color="auto"/>
              <w:left w:val="single" w:sz="6" w:space="0" w:color="auto"/>
              <w:bottom w:val="single" w:sz="6" w:space="0" w:color="auto"/>
              <w:right w:val="single" w:sz="6" w:space="0" w:color="auto"/>
            </w:tcBorders>
          </w:tcPr>
          <w:p w14:paraId="5455FFC6"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Quarterly </w:t>
            </w:r>
          </w:p>
        </w:tc>
      </w:tr>
      <w:tr w:rsidR="00364043" w14:paraId="7C22CC86" w14:textId="77777777">
        <w:tc>
          <w:tcPr>
            <w:tcW w:w="1250" w:type="pct"/>
            <w:tcBorders>
              <w:top w:val="single" w:sz="6" w:space="0" w:color="auto"/>
              <w:left w:val="single" w:sz="6" w:space="0" w:color="auto"/>
              <w:bottom w:val="single" w:sz="6" w:space="0" w:color="auto"/>
              <w:right w:val="single" w:sz="6" w:space="0" w:color="auto"/>
            </w:tcBorders>
          </w:tcPr>
          <w:p w14:paraId="424A9AE6"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2025 </w:t>
            </w:r>
          </w:p>
        </w:tc>
        <w:tc>
          <w:tcPr>
            <w:tcW w:w="1250" w:type="pct"/>
            <w:tcBorders>
              <w:top w:val="single" w:sz="6" w:space="0" w:color="auto"/>
              <w:left w:val="single" w:sz="6" w:space="0" w:color="auto"/>
              <w:bottom w:val="single" w:sz="6" w:space="0" w:color="auto"/>
              <w:right w:val="single" w:sz="6" w:space="0" w:color="auto"/>
            </w:tcBorders>
          </w:tcPr>
          <w:p w14:paraId="43253BD4"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Heritage Ireland 2030 - Historic Environment Data Working Group </w:t>
            </w:r>
          </w:p>
        </w:tc>
        <w:tc>
          <w:tcPr>
            <w:tcW w:w="1250" w:type="pct"/>
            <w:tcBorders>
              <w:top w:val="single" w:sz="6" w:space="0" w:color="auto"/>
              <w:left w:val="single" w:sz="6" w:space="0" w:color="auto"/>
              <w:bottom w:val="single" w:sz="6" w:space="0" w:color="auto"/>
              <w:right w:val="single" w:sz="6" w:space="0" w:color="auto"/>
            </w:tcBorders>
          </w:tcPr>
          <w:p w14:paraId="06750F6F"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A group to improve historic environment data management in the public sector</w:t>
            </w:r>
          </w:p>
        </w:tc>
        <w:tc>
          <w:tcPr>
            <w:tcW w:w="1250" w:type="pct"/>
            <w:tcBorders>
              <w:top w:val="single" w:sz="6" w:space="0" w:color="auto"/>
              <w:left w:val="single" w:sz="6" w:space="0" w:color="auto"/>
              <w:bottom w:val="single" w:sz="6" w:space="0" w:color="auto"/>
              <w:right w:val="single" w:sz="6" w:space="0" w:color="auto"/>
            </w:tcBorders>
          </w:tcPr>
          <w:p w14:paraId="53DDB984"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Quarterly </w:t>
            </w:r>
          </w:p>
        </w:tc>
      </w:tr>
      <w:tr w:rsidR="00364043" w14:paraId="2CE664F6" w14:textId="77777777">
        <w:tc>
          <w:tcPr>
            <w:tcW w:w="1250" w:type="pct"/>
            <w:tcBorders>
              <w:top w:val="single" w:sz="6" w:space="0" w:color="auto"/>
              <w:left w:val="single" w:sz="6" w:space="0" w:color="auto"/>
              <w:bottom w:val="single" w:sz="6" w:space="0" w:color="auto"/>
              <w:right w:val="single" w:sz="6" w:space="0" w:color="auto"/>
            </w:tcBorders>
          </w:tcPr>
          <w:p w14:paraId="5E0D2D22"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2025 </w:t>
            </w:r>
          </w:p>
        </w:tc>
        <w:tc>
          <w:tcPr>
            <w:tcW w:w="1250" w:type="pct"/>
            <w:tcBorders>
              <w:top w:val="single" w:sz="6" w:space="0" w:color="auto"/>
              <w:left w:val="single" w:sz="6" w:space="0" w:color="auto"/>
              <w:bottom w:val="single" w:sz="6" w:space="0" w:color="auto"/>
              <w:right w:val="single" w:sz="6" w:space="0" w:color="auto"/>
            </w:tcBorders>
          </w:tcPr>
          <w:p w14:paraId="3A896651"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Local Authority Ecologists Forum </w:t>
            </w:r>
          </w:p>
        </w:tc>
        <w:tc>
          <w:tcPr>
            <w:tcW w:w="1250" w:type="pct"/>
            <w:tcBorders>
              <w:top w:val="single" w:sz="6" w:space="0" w:color="auto"/>
              <w:left w:val="single" w:sz="6" w:space="0" w:color="auto"/>
              <w:bottom w:val="single" w:sz="6" w:space="0" w:color="auto"/>
              <w:right w:val="single" w:sz="6" w:space="0" w:color="auto"/>
            </w:tcBorders>
          </w:tcPr>
          <w:p w14:paraId="4426F9A8"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A forum for local authority staff working on ecology and nature conservation issues, particularly in relation to the integration of nature protection into plans and planning applications.</w:t>
            </w:r>
          </w:p>
        </w:tc>
        <w:tc>
          <w:tcPr>
            <w:tcW w:w="1250" w:type="pct"/>
            <w:tcBorders>
              <w:top w:val="single" w:sz="6" w:space="0" w:color="auto"/>
              <w:left w:val="single" w:sz="6" w:space="0" w:color="auto"/>
              <w:bottom w:val="single" w:sz="6" w:space="0" w:color="auto"/>
              <w:right w:val="single" w:sz="6" w:space="0" w:color="auto"/>
            </w:tcBorders>
          </w:tcPr>
          <w:p w14:paraId="26447FC5"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Quarterly </w:t>
            </w:r>
          </w:p>
        </w:tc>
      </w:tr>
      <w:tr w:rsidR="00364043" w14:paraId="1C3A590F" w14:textId="77777777">
        <w:tc>
          <w:tcPr>
            <w:tcW w:w="1250" w:type="pct"/>
            <w:tcBorders>
              <w:top w:val="single" w:sz="6" w:space="0" w:color="auto"/>
              <w:left w:val="single" w:sz="6" w:space="0" w:color="auto"/>
              <w:bottom w:val="single" w:sz="6" w:space="0" w:color="auto"/>
              <w:right w:val="single" w:sz="6" w:space="0" w:color="auto"/>
            </w:tcBorders>
          </w:tcPr>
          <w:p w14:paraId="1DBBF448"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2025 </w:t>
            </w:r>
          </w:p>
        </w:tc>
        <w:tc>
          <w:tcPr>
            <w:tcW w:w="1250" w:type="pct"/>
            <w:tcBorders>
              <w:top w:val="single" w:sz="6" w:space="0" w:color="auto"/>
              <w:left w:val="single" w:sz="6" w:space="0" w:color="auto"/>
              <w:bottom w:val="single" w:sz="6" w:space="0" w:color="auto"/>
              <w:right w:val="single" w:sz="6" w:space="0" w:color="auto"/>
            </w:tcBorders>
          </w:tcPr>
          <w:p w14:paraId="4E972980"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Interdepartmental Hen Harrier Threat Response Group </w:t>
            </w:r>
          </w:p>
        </w:tc>
        <w:tc>
          <w:tcPr>
            <w:tcW w:w="1250" w:type="pct"/>
            <w:tcBorders>
              <w:top w:val="single" w:sz="6" w:space="0" w:color="auto"/>
              <w:left w:val="single" w:sz="6" w:space="0" w:color="auto"/>
              <w:bottom w:val="single" w:sz="6" w:space="0" w:color="auto"/>
              <w:right w:val="single" w:sz="6" w:space="0" w:color="auto"/>
            </w:tcBorders>
          </w:tcPr>
          <w:p w14:paraId="181FE7F2"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A working group to monitor the implementation of the Hen Harrier Threat Response Plan</w:t>
            </w:r>
          </w:p>
        </w:tc>
        <w:tc>
          <w:tcPr>
            <w:tcW w:w="1250" w:type="pct"/>
            <w:tcBorders>
              <w:top w:val="single" w:sz="6" w:space="0" w:color="auto"/>
              <w:left w:val="single" w:sz="6" w:space="0" w:color="auto"/>
              <w:bottom w:val="single" w:sz="6" w:space="0" w:color="auto"/>
              <w:right w:val="single" w:sz="6" w:space="0" w:color="auto"/>
            </w:tcBorders>
          </w:tcPr>
          <w:p w14:paraId="1B11FD97"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Biannually </w:t>
            </w:r>
          </w:p>
        </w:tc>
      </w:tr>
      <w:tr w:rsidR="00364043" w14:paraId="2CE3DC15" w14:textId="77777777">
        <w:tc>
          <w:tcPr>
            <w:tcW w:w="1250" w:type="pct"/>
            <w:tcBorders>
              <w:top w:val="single" w:sz="6" w:space="0" w:color="auto"/>
              <w:left w:val="single" w:sz="6" w:space="0" w:color="auto"/>
              <w:bottom w:val="single" w:sz="6" w:space="0" w:color="auto"/>
              <w:right w:val="single" w:sz="6" w:space="0" w:color="auto"/>
            </w:tcBorders>
          </w:tcPr>
          <w:p w14:paraId="057747B4"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2025 </w:t>
            </w:r>
          </w:p>
        </w:tc>
        <w:tc>
          <w:tcPr>
            <w:tcW w:w="1250" w:type="pct"/>
            <w:tcBorders>
              <w:top w:val="single" w:sz="6" w:space="0" w:color="auto"/>
              <w:left w:val="single" w:sz="6" w:space="0" w:color="auto"/>
              <w:bottom w:val="single" w:sz="6" w:space="0" w:color="auto"/>
              <w:right w:val="single" w:sz="6" w:space="0" w:color="auto"/>
            </w:tcBorders>
          </w:tcPr>
          <w:p w14:paraId="4C068128"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Interdepartmental Working Groups on Land, Sea, and Cities &amp; Towns </w:t>
            </w:r>
          </w:p>
        </w:tc>
        <w:tc>
          <w:tcPr>
            <w:tcW w:w="1250" w:type="pct"/>
            <w:tcBorders>
              <w:top w:val="single" w:sz="6" w:space="0" w:color="auto"/>
              <w:left w:val="single" w:sz="6" w:space="0" w:color="auto"/>
              <w:bottom w:val="single" w:sz="6" w:space="0" w:color="auto"/>
              <w:right w:val="single" w:sz="6" w:space="0" w:color="auto"/>
            </w:tcBorders>
          </w:tcPr>
          <w:p w14:paraId="3095C149"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Three working groups established to inform the development of the National Restoration Plan under the EU Nature Restoration Regulation </w:t>
            </w:r>
          </w:p>
        </w:tc>
        <w:tc>
          <w:tcPr>
            <w:tcW w:w="1250" w:type="pct"/>
            <w:tcBorders>
              <w:top w:val="single" w:sz="6" w:space="0" w:color="auto"/>
              <w:left w:val="single" w:sz="6" w:space="0" w:color="auto"/>
              <w:bottom w:val="single" w:sz="6" w:space="0" w:color="auto"/>
              <w:right w:val="single" w:sz="6" w:space="0" w:color="auto"/>
            </w:tcBorders>
          </w:tcPr>
          <w:p w14:paraId="7C24DA9E"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Quarterly </w:t>
            </w:r>
          </w:p>
        </w:tc>
      </w:tr>
      <w:tr w:rsidR="00364043" w14:paraId="0E6CC5FA" w14:textId="77777777">
        <w:tc>
          <w:tcPr>
            <w:tcW w:w="1250" w:type="pct"/>
            <w:tcBorders>
              <w:top w:val="single" w:sz="6" w:space="0" w:color="auto"/>
              <w:left w:val="single" w:sz="6" w:space="0" w:color="auto"/>
              <w:bottom w:val="single" w:sz="6" w:space="0" w:color="auto"/>
              <w:right w:val="single" w:sz="6" w:space="0" w:color="auto"/>
            </w:tcBorders>
          </w:tcPr>
          <w:p w14:paraId="3C7ECEB2"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2025 </w:t>
            </w:r>
          </w:p>
        </w:tc>
        <w:tc>
          <w:tcPr>
            <w:tcW w:w="1250" w:type="pct"/>
            <w:tcBorders>
              <w:top w:val="single" w:sz="6" w:space="0" w:color="auto"/>
              <w:left w:val="single" w:sz="6" w:space="0" w:color="auto"/>
              <w:bottom w:val="single" w:sz="6" w:space="0" w:color="auto"/>
              <w:right w:val="single" w:sz="6" w:space="0" w:color="auto"/>
            </w:tcBorders>
          </w:tcPr>
          <w:p w14:paraId="67CC5DED"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Asian Hornet Management Group (AHMG) </w:t>
            </w:r>
          </w:p>
        </w:tc>
        <w:tc>
          <w:tcPr>
            <w:tcW w:w="1250" w:type="pct"/>
            <w:tcBorders>
              <w:top w:val="single" w:sz="6" w:space="0" w:color="auto"/>
              <w:left w:val="single" w:sz="6" w:space="0" w:color="auto"/>
              <w:bottom w:val="single" w:sz="6" w:space="0" w:color="auto"/>
              <w:right w:val="single" w:sz="6" w:space="0" w:color="auto"/>
            </w:tcBorders>
          </w:tcPr>
          <w:p w14:paraId="263C3014"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A group to oversee the discovery and removal of Asian Hornet nests in Cork and develop a protocol for any potential future presence of Asian Hornet in Ireland. </w:t>
            </w:r>
          </w:p>
        </w:tc>
        <w:tc>
          <w:tcPr>
            <w:tcW w:w="1250" w:type="pct"/>
            <w:tcBorders>
              <w:top w:val="single" w:sz="6" w:space="0" w:color="auto"/>
              <w:left w:val="single" w:sz="6" w:space="0" w:color="auto"/>
              <w:bottom w:val="single" w:sz="6" w:space="0" w:color="auto"/>
              <w:right w:val="single" w:sz="6" w:space="0" w:color="auto"/>
            </w:tcBorders>
          </w:tcPr>
          <w:p w14:paraId="6E0D4714"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As Required </w:t>
            </w:r>
          </w:p>
        </w:tc>
      </w:tr>
      <w:tr w:rsidR="00364043" w14:paraId="1D8982DD" w14:textId="77777777">
        <w:tc>
          <w:tcPr>
            <w:tcW w:w="1250" w:type="pct"/>
            <w:tcBorders>
              <w:top w:val="single" w:sz="6" w:space="0" w:color="auto"/>
              <w:left w:val="single" w:sz="6" w:space="0" w:color="auto"/>
              <w:bottom w:val="single" w:sz="6" w:space="0" w:color="auto"/>
              <w:right w:val="single" w:sz="6" w:space="0" w:color="auto"/>
            </w:tcBorders>
          </w:tcPr>
          <w:p w14:paraId="7DF3B719"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lastRenderedPageBreak/>
              <w:t>2025</w:t>
            </w:r>
          </w:p>
        </w:tc>
        <w:tc>
          <w:tcPr>
            <w:tcW w:w="1250" w:type="pct"/>
            <w:tcBorders>
              <w:top w:val="single" w:sz="6" w:space="0" w:color="auto"/>
              <w:left w:val="single" w:sz="6" w:space="0" w:color="auto"/>
              <w:bottom w:val="single" w:sz="6" w:space="0" w:color="auto"/>
              <w:right w:val="single" w:sz="6" w:space="0" w:color="auto"/>
            </w:tcBorders>
          </w:tcPr>
          <w:p w14:paraId="09C42B87"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Advisory Steering Group for Housing Assistance Payment (HAP) Rent Limit Review </w:t>
            </w:r>
          </w:p>
        </w:tc>
        <w:tc>
          <w:tcPr>
            <w:tcW w:w="1250" w:type="pct"/>
            <w:tcBorders>
              <w:top w:val="single" w:sz="6" w:space="0" w:color="auto"/>
              <w:left w:val="single" w:sz="6" w:space="0" w:color="auto"/>
              <w:bottom w:val="single" w:sz="6" w:space="0" w:color="auto"/>
              <w:right w:val="single" w:sz="6" w:space="0" w:color="auto"/>
            </w:tcBorders>
          </w:tcPr>
          <w:p w14:paraId="45C68DD2"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An Advisory Steering Group to provide expertise, information, and advise on amendments to existing HAP policy to ensure that all required viewpoints are incorporated into final output </w:t>
            </w:r>
          </w:p>
        </w:tc>
        <w:tc>
          <w:tcPr>
            <w:tcW w:w="1250" w:type="pct"/>
            <w:tcBorders>
              <w:top w:val="single" w:sz="6" w:space="0" w:color="auto"/>
              <w:left w:val="single" w:sz="6" w:space="0" w:color="auto"/>
              <w:bottom w:val="single" w:sz="6" w:space="0" w:color="auto"/>
              <w:right w:val="single" w:sz="6" w:space="0" w:color="auto"/>
            </w:tcBorders>
          </w:tcPr>
          <w:p w14:paraId="6D3B7878"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As Required </w:t>
            </w:r>
          </w:p>
        </w:tc>
      </w:tr>
      <w:tr w:rsidR="00364043" w14:paraId="1B456D3E" w14:textId="77777777">
        <w:tc>
          <w:tcPr>
            <w:tcW w:w="1250" w:type="pct"/>
            <w:tcBorders>
              <w:top w:val="single" w:sz="6" w:space="0" w:color="auto"/>
              <w:left w:val="single" w:sz="6" w:space="0" w:color="auto"/>
              <w:bottom w:val="single" w:sz="6" w:space="0" w:color="auto"/>
              <w:right w:val="single" w:sz="6" w:space="0" w:color="auto"/>
            </w:tcBorders>
          </w:tcPr>
          <w:p w14:paraId="3F6E2816"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2025 </w:t>
            </w:r>
          </w:p>
        </w:tc>
        <w:tc>
          <w:tcPr>
            <w:tcW w:w="1250" w:type="pct"/>
            <w:tcBorders>
              <w:top w:val="single" w:sz="6" w:space="0" w:color="auto"/>
              <w:left w:val="single" w:sz="6" w:space="0" w:color="auto"/>
              <w:bottom w:val="single" w:sz="6" w:space="0" w:color="auto"/>
              <w:right w:val="single" w:sz="6" w:space="0" w:color="auto"/>
            </w:tcBorders>
          </w:tcPr>
          <w:p w14:paraId="000498A1"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Homeless Capital Scheme Working Group </w:t>
            </w:r>
          </w:p>
        </w:tc>
        <w:tc>
          <w:tcPr>
            <w:tcW w:w="1250" w:type="pct"/>
            <w:tcBorders>
              <w:top w:val="single" w:sz="6" w:space="0" w:color="auto"/>
              <w:left w:val="single" w:sz="6" w:space="0" w:color="auto"/>
              <w:bottom w:val="single" w:sz="6" w:space="0" w:color="auto"/>
              <w:right w:val="single" w:sz="6" w:space="0" w:color="auto"/>
            </w:tcBorders>
          </w:tcPr>
          <w:p w14:paraId="4B601AA6"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A group to develop a capital scheme for the provision of homeless emergency and transitional accommodation</w:t>
            </w:r>
          </w:p>
        </w:tc>
        <w:tc>
          <w:tcPr>
            <w:tcW w:w="1250" w:type="pct"/>
            <w:tcBorders>
              <w:top w:val="single" w:sz="6" w:space="0" w:color="auto"/>
              <w:left w:val="single" w:sz="6" w:space="0" w:color="auto"/>
              <w:bottom w:val="single" w:sz="6" w:space="0" w:color="auto"/>
              <w:right w:val="single" w:sz="6" w:space="0" w:color="auto"/>
            </w:tcBorders>
          </w:tcPr>
          <w:p w14:paraId="40EB3B0E"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Monthly </w:t>
            </w:r>
          </w:p>
        </w:tc>
      </w:tr>
      <w:tr w:rsidR="00364043" w14:paraId="00E9204B" w14:textId="77777777">
        <w:tc>
          <w:tcPr>
            <w:tcW w:w="1250" w:type="pct"/>
            <w:tcBorders>
              <w:top w:val="single" w:sz="6" w:space="0" w:color="auto"/>
              <w:left w:val="single" w:sz="6" w:space="0" w:color="auto"/>
              <w:bottom w:val="single" w:sz="6" w:space="0" w:color="auto"/>
              <w:right w:val="single" w:sz="6" w:space="0" w:color="auto"/>
            </w:tcBorders>
          </w:tcPr>
          <w:p w14:paraId="517C9F3E"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2025 </w:t>
            </w:r>
          </w:p>
        </w:tc>
        <w:tc>
          <w:tcPr>
            <w:tcW w:w="1250" w:type="pct"/>
            <w:tcBorders>
              <w:top w:val="single" w:sz="6" w:space="0" w:color="auto"/>
              <w:left w:val="single" w:sz="6" w:space="0" w:color="auto"/>
              <w:bottom w:val="single" w:sz="6" w:space="0" w:color="auto"/>
              <w:right w:val="single" w:sz="6" w:space="0" w:color="auto"/>
            </w:tcBorders>
          </w:tcPr>
          <w:p w14:paraId="34F5DE72"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Review of the County and City Management Association (CCMA) 2022 Code of Practice – Approved Housing Body Allocation Process </w:t>
            </w:r>
          </w:p>
        </w:tc>
        <w:tc>
          <w:tcPr>
            <w:tcW w:w="1250" w:type="pct"/>
            <w:tcBorders>
              <w:top w:val="single" w:sz="6" w:space="0" w:color="auto"/>
              <w:left w:val="single" w:sz="6" w:space="0" w:color="auto"/>
              <w:bottom w:val="single" w:sz="6" w:space="0" w:color="auto"/>
              <w:right w:val="single" w:sz="6" w:space="0" w:color="auto"/>
            </w:tcBorders>
          </w:tcPr>
          <w:p w14:paraId="57639BD8"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A group to oversee an update the Code of Practice for local authority nominations to Approved Housing Bodies </w:t>
            </w:r>
          </w:p>
        </w:tc>
        <w:tc>
          <w:tcPr>
            <w:tcW w:w="1250" w:type="pct"/>
            <w:tcBorders>
              <w:top w:val="single" w:sz="6" w:space="0" w:color="auto"/>
              <w:left w:val="single" w:sz="6" w:space="0" w:color="auto"/>
              <w:bottom w:val="single" w:sz="6" w:space="0" w:color="auto"/>
              <w:right w:val="single" w:sz="6" w:space="0" w:color="auto"/>
            </w:tcBorders>
          </w:tcPr>
          <w:p w14:paraId="235EA4E8"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Monthly </w:t>
            </w:r>
          </w:p>
        </w:tc>
      </w:tr>
      <w:tr w:rsidR="00364043" w14:paraId="36466A3A" w14:textId="77777777">
        <w:tc>
          <w:tcPr>
            <w:tcW w:w="1250" w:type="pct"/>
            <w:tcBorders>
              <w:top w:val="single" w:sz="6" w:space="0" w:color="auto"/>
              <w:left w:val="single" w:sz="6" w:space="0" w:color="auto"/>
              <w:bottom w:val="single" w:sz="6" w:space="0" w:color="auto"/>
              <w:right w:val="single" w:sz="6" w:space="0" w:color="auto"/>
            </w:tcBorders>
          </w:tcPr>
          <w:p w14:paraId="0A887FB7"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2025 </w:t>
            </w:r>
          </w:p>
        </w:tc>
        <w:tc>
          <w:tcPr>
            <w:tcW w:w="1250" w:type="pct"/>
            <w:tcBorders>
              <w:top w:val="single" w:sz="6" w:space="0" w:color="auto"/>
              <w:left w:val="single" w:sz="6" w:space="0" w:color="auto"/>
              <w:bottom w:val="single" w:sz="6" w:space="0" w:color="auto"/>
              <w:right w:val="single" w:sz="6" w:space="0" w:color="auto"/>
            </w:tcBorders>
          </w:tcPr>
          <w:p w14:paraId="3198583D"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Housing Policy for Older People Working Group </w:t>
            </w:r>
          </w:p>
        </w:tc>
        <w:tc>
          <w:tcPr>
            <w:tcW w:w="1250" w:type="pct"/>
            <w:tcBorders>
              <w:top w:val="single" w:sz="6" w:space="0" w:color="auto"/>
              <w:left w:val="single" w:sz="6" w:space="0" w:color="auto"/>
              <w:bottom w:val="single" w:sz="6" w:space="0" w:color="auto"/>
              <w:right w:val="single" w:sz="6" w:space="0" w:color="auto"/>
            </w:tcBorders>
          </w:tcPr>
          <w:p w14:paraId="3C7DE973"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A working group which includes representatives from the Housing Agency, the County and City Managers Association and Age Friendly Ireland to consider implementation of the actions regarding housing for older people in Delivering Homes, Building Communities 2025-2030</w:t>
            </w:r>
          </w:p>
        </w:tc>
        <w:tc>
          <w:tcPr>
            <w:tcW w:w="1250" w:type="pct"/>
            <w:tcBorders>
              <w:top w:val="single" w:sz="6" w:space="0" w:color="auto"/>
              <w:left w:val="single" w:sz="6" w:space="0" w:color="auto"/>
              <w:bottom w:val="single" w:sz="6" w:space="0" w:color="auto"/>
              <w:right w:val="single" w:sz="6" w:space="0" w:color="auto"/>
            </w:tcBorders>
          </w:tcPr>
          <w:p w14:paraId="4571B555"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Quarterly </w:t>
            </w:r>
          </w:p>
        </w:tc>
      </w:tr>
      <w:tr w:rsidR="00364043" w14:paraId="76A0D863" w14:textId="77777777">
        <w:tc>
          <w:tcPr>
            <w:tcW w:w="1250" w:type="pct"/>
            <w:tcBorders>
              <w:top w:val="single" w:sz="6" w:space="0" w:color="auto"/>
              <w:left w:val="single" w:sz="6" w:space="0" w:color="auto"/>
              <w:bottom w:val="single" w:sz="6" w:space="0" w:color="auto"/>
              <w:right w:val="single" w:sz="6" w:space="0" w:color="auto"/>
            </w:tcBorders>
          </w:tcPr>
          <w:p w14:paraId="4665FF92"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2025 </w:t>
            </w:r>
          </w:p>
        </w:tc>
        <w:tc>
          <w:tcPr>
            <w:tcW w:w="1250" w:type="pct"/>
            <w:tcBorders>
              <w:top w:val="single" w:sz="6" w:space="0" w:color="auto"/>
              <w:left w:val="single" w:sz="6" w:space="0" w:color="auto"/>
              <w:bottom w:val="single" w:sz="6" w:space="0" w:color="auto"/>
              <w:right w:val="single" w:sz="6" w:space="0" w:color="auto"/>
            </w:tcBorders>
          </w:tcPr>
          <w:p w14:paraId="520A6F56"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Housing Adaptation Grants for Older People and Disabled People Application Process Working Group </w:t>
            </w:r>
          </w:p>
        </w:tc>
        <w:tc>
          <w:tcPr>
            <w:tcW w:w="1250" w:type="pct"/>
            <w:tcBorders>
              <w:top w:val="single" w:sz="6" w:space="0" w:color="auto"/>
              <w:left w:val="single" w:sz="6" w:space="0" w:color="auto"/>
              <w:bottom w:val="single" w:sz="6" w:space="0" w:color="auto"/>
              <w:right w:val="single" w:sz="6" w:space="0" w:color="auto"/>
            </w:tcBorders>
          </w:tcPr>
          <w:p w14:paraId="755E1446"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A working group, including representatives from the Disabled Persons Organisations (DPOs), local authorities and other stakeholders, to consider improvements to the grant application process </w:t>
            </w:r>
          </w:p>
        </w:tc>
        <w:tc>
          <w:tcPr>
            <w:tcW w:w="1250" w:type="pct"/>
            <w:tcBorders>
              <w:top w:val="single" w:sz="6" w:space="0" w:color="auto"/>
              <w:left w:val="single" w:sz="6" w:space="0" w:color="auto"/>
              <w:bottom w:val="single" w:sz="6" w:space="0" w:color="auto"/>
              <w:right w:val="single" w:sz="6" w:space="0" w:color="auto"/>
            </w:tcBorders>
          </w:tcPr>
          <w:p w14:paraId="353CC00F"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As Required </w:t>
            </w:r>
          </w:p>
        </w:tc>
      </w:tr>
      <w:tr w:rsidR="00364043" w14:paraId="6BF0F40A" w14:textId="77777777">
        <w:tc>
          <w:tcPr>
            <w:tcW w:w="1250" w:type="pct"/>
            <w:tcBorders>
              <w:top w:val="single" w:sz="6" w:space="0" w:color="auto"/>
              <w:left w:val="single" w:sz="6" w:space="0" w:color="auto"/>
              <w:bottom w:val="single" w:sz="6" w:space="0" w:color="auto"/>
              <w:right w:val="single" w:sz="6" w:space="0" w:color="auto"/>
            </w:tcBorders>
          </w:tcPr>
          <w:p w14:paraId="139A3F1C"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lastRenderedPageBreak/>
              <w:t xml:space="preserve">2025 </w:t>
            </w:r>
          </w:p>
        </w:tc>
        <w:tc>
          <w:tcPr>
            <w:tcW w:w="1250" w:type="pct"/>
            <w:tcBorders>
              <w:top w:val="single" w:sz="6" w:space="0" w:color="auto"/>
              <w:left w:val="single" w:sz="6" w:space="0" w:color="auto"/>
              <w:bottom w:val="single" w:sz="6" w:space="0" w:color="auto"/>
              <w:right w:val="single" w:sz="6" w:space="0" w:color="auto"/>
            </w:tcBorders>
          </w:tcPr>
          <w:p w14:paraId="1F73D371"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Ireland at MIPIM 2026 Joint Working Group </w:t>
            </w:r>
          </w:p>
        </w:tc>
        <w:tc>
          <w:tcPr>
            <w:tcW w:w="1250" w:type="pct"/>
            <w:tcBorders>
              <w:top w:val="single" w:sz="6" w:space="0" w:color="auto"/>
              <w:left w:val="single" w:sz="6" w:space="0" w:color="auto"/>
              <w:bottom w:val="single" w:sz="6" w:space="0" w:color="auto"/>
              <w:right w:val="single" w:sz="6" w:space="0" w:color="auto"/>
            </w:tcBorders>
          </w:tcPr>
          <w:p w14:paraId="3983475B"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A working group to coordinate the delivery of Ireland at MIPIM (Marché International des </w:t>
            </w:r>
            <w:proofErr w:type="spellStart"/>
            <w:r>
              <w:rPr>
                <w:rFonts w:ascii="Tms Rmn" w:hAnsi="Tms Rmn" w:cs="Tms Rmn"/>
                <w:color w:val="000000"/>
                <w:kern w:val="0"/>
                <w:sz w:val="24"/>
                <w:szCs w:val="24"/>
              </w:rPr>
              <w:t>Professionnels</w:t>
            </w:r>
            <w:proofErr w:type="spellEnd"/>
            <w:r>
              <w:rPr>
                <w:rFonts w:ascii="Tms Rmn" w:hAnsi="Tms Rmn" w:cs="Tms Rmn"/>
                <w:color w:val="000000"/>
                <w:kern w:val="0"/>
                <w:sz w:val="24"/>
                <w:szCs w:val="24"/>
              </w:rPr>
              <w:t xml:space="preserve"> de </w:t>
            </w:r>
            <w:proofErr w:type="spellStart"/>
            <w:r>
              <w:rPr>
                <w:rFonts w:ascii="Tms Rmn" w:hAnsi="Tms Rmn" w:cs="Tms Rmn"/>
                <w:color w:val="000000"/>
                <w:kern w:val="0"/>
                <w:sz w:val="24"/>
                <w:szCs w:val="24"/>
              </w:rPr>
              <w:t>l'immobilier</w:t>
            </w:r>
            <w:proofErr w:type="spellEnd"/>
            <w:r>
              <w:rPr>
                <w:rFonts w:ascii="Tms Rmn" w:hAnsi="Tms Rmn" w:cs="Tms Rmn"/>
                <w:color w:val="000000"/>
                <w:kern w:val="0"/>
                <w:sz w:val="24"/>
                <w:szCs w:val="24"/>
              </w:rPr>
              <w:t xml:space="preserve">) 2026 taking place in Cannes, France in March 2026 </w:t>
            </w:r>
          </w:p>
        </w:tc>
        <w:tc>
          <w:tcPr>
            <w:tcW w:w="1250" w:type="pct"/>
            <w:tcBorders>
              <w:top w:val="single" w:sz="6" w:space="0" w:color="auto"/>
              <w:left w:val="single" w:sz="6" w:space="0" w:color="auto"/>
              <w:bottom w:val="single" w:sz="6" w:space="0" w:color="auto"/>
              <w:right w:val="single" w:sz="6" w:space="0" w:color="auto"/>
            </w:tcBorders>
          </w:tcPr>
          <w:p w14:paraId="7C553576"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Weekly </w:t>
            </w:r>
          </w:p>
        </w:tc>
      </w:tr>
      <w:tr w:rsidR="00364043" w14:paraId="7A6B97E9" w14:textId="77777777">
        <w:tc>
          <w:tcPr>
            <w:tcW w:w="1250" w:type="pct"/>
            <w:tcBorders>
              <w:top w:val="single" w:sz="6" w:space="0" w:color="auto"/>
              <w:left w:val="single" w:sz="6" w:space="0" w:color="auto"/>
              <w:bottom w:val="single" w:sz="6" w:space="0" w:color="auto"/>
              <w:right w:val="single" w:sz="6" w:space="0" w:color="auto"/>
            </w:tcBorders>
          </w:tcPr>
          <w:p w14:paraId="15CF0D5C"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2025 </w:t>
            </w:r>
          </w:p>
        </w:tc>
        <w:tc>
          <w:tcPr>
            <w:tcW w:w="1250" w:type="pct"/>
            <w:tcBorders>
              <w:top w:val="single" w:sz="6" w:space="0" w:color="auto"/>
              <w:left w:val="single" w:sz="6" w:space="0" w:color="auto"/>
              <w:bottom w:val="single" w:sz="6" w:space="0" w:color="auto"/>
              <w:right w:val="single" w:sz="6" w:space="0" w:color="auto"/>
            </w:tcBorders>
          </w:tcPr>
          <w:p w14:paraId="43404149"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Public Housing Delivery using Modern Methods of Construction (MMC) </w:t>
            </w:r>
          </w:p>
        </w:tc>
        <w:tc>
          <w:tcPr>
            <w:tcW w:w="1250" w:type="pct"/>
            <w:tcBorders>
              <w:top w:val="single" w:sz="6" w:space="0" w:color="auto"/>
              <w:left w:val="single" w:sz="6" w:space="0" w:color="auto"/>
              <w:bottom w:val="single" w:sz="6" w:space="0" w:color="auto"/>
              <w:right w:val="single" w:sz="6" w:space="0" w:color="auto"/>
            </w:tcBorders>
          </w:tcPr>
          <w:p w14:paraId="13157692"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A group to work in partnership across public housing delivery bodies towards a standardised approach to dwelling types, components and delivery with reference to the Housing for All Priority Action 13.2 Roadmap for increased adoption of Modern Methods of Construction in Public Housing Delivery</w:t>
            </w:r>
          </w:p>
        </w:tc>
        <w:tc>
          <w:tcPr>
            <w:tcW w:w="1250" w:type="pct"/>
            <w:tcBorders>
              <w:top w:val="single" w:sz="6" w:space="0" w:color="auto"/>
              <w:left w:val="single" w:sz="6" w:space="0" w:color="auto"/>
              <w:bottom w:val="single" w:sz="6" w:space="0" w:color="auto"/>
              <w:right w:val="single" w:sz="6" w:space="0" w:color="auto"/>
            </w:tcBorders>
          </w:tcPr>
          <w:p w14:paraId="39728BD7"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Monthly </w:t>
            </w:r>
          </w:p>
        </w:tc>
      </w:tr>
      <w:tr w:rsidR="00364043" w14:paraId="78517B8B" w14:textId="77777777">
        <w:tc>
          <w:tcPr>
            <w:tcW w:w="1250" w:type="pct"/>
            <w:tcBorders>
              <w:top w:val="single" w:sz="6" w:space="0" w:color="auto"/>
              <w:left w:val="single" w:sz="6" w:space="0" w:color="auto"/>
              <w:bottom w:val="single" w:sz="6" w:space="0" w:color="auto"/>
              <w:right w:val="single" w:sz="6" w:space="0" w:color="auto"/>
            </w:tcBorders>
          </w:tcPr>
          <w:p w14:paraId="0CAFB990"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2025 </w:t>
            </w:r>
          </w:p>
        </w:tc>
        <w:tc>
          <w:tcPr>
            <w:tcW w:w="1250" w:type="pct"/>
            <w:tcBorders>
              <w:top w:val="single" w:sz="6" w:space="0" w:color="auto"/>
              <w:left w:val="single" w:sz="6" w:space="0" w:color="auto"/>
              <w:bottom w:val="single" w:sz="6" w:space="0" w:color="auto"/>
              <w:right w:val="single" w:sz="6" w:space="0" w:color="auto"/>
            </w:tcBorders>
          </w:tcPr>
          <w:p w14:paraId="4C6E7CCA"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Housing Activation Delivery Group </w:t>
            </w:r>
          </w:p>
        </w:tc>
        <w:tc>
          <w:tcPr>
            <w:tcW w:w="1250" w:type="pct"/>
            <w:tcBorders>
              <w:top w:val="single" w:sz="6" w:space="0" w:color="auto"/>
              <w:left w:val="single" w:sz="6" w:space="0" w:color="auto"/>
              <w:bottom w:val="single" w:sz="6" w:space="0" w:color="auto"/>
              <w:right w:val="single" w:sz="6" w:space="0" w:color="auto"/>
            </w:tcBorders>
          </w:tcPr>
          <w:p w14:paraId="45B6230E"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A group to oversee and support the work of the Housing Activation Office</w:t>
            </w:r>
          </w:p>
        </w:tc>
        <w:tc>
          <w:tcPr>
            <w:tcW w:w="1250" w:type="pct"/>
            <w:tcBorders>
              <w:top w:val="single" w:sz="6" w:space="0" w:color="auto"/>
              <w:left w:val="single" w:sz="6" w:space="0" w:color="auto"/>
              <w:bottom w:val="single" w:sz="6" w:space="0" w:color="auto"/>
              <w:right w:val="single" w:sz="6" w:space="0" w:color="auto"/>
            </w:tcBorders>
          </w:tcPr>
          <w:p w14:paraId="776BA979"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Quarterly </w:t>
            </w:r>
          </w:p>
        </w:tc>
      </w:tr>
      <w:tr w:rsidR="00364043" w14:paraId="1457FFAB" w14:textId="77777777">
        <w:tc>
          <w:tcPr>
            <w:tcW w:w="1250" w:type="pct"/>
            <w:tcBorders>
              <w:top w:val="single" w:sz="6" w:space="0" w:color="auto"/>
              <w:left w:val="single" w:sz="6" w:space="0" w:color="auto"/>
              <w:bottom w:val="single" w:sz="6" w:space="0" w:color="auto"/>
              <w:right w:val="single" w:sz="6" w:space="0" w:color="auto"/>
            </w:tcBorders>
          </w:tcPr>
          <w:p w14:paraId="68FD759C"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2025 </w:t>
            </w:r>
          </w:p>
        </w:tc>
        <w:tc>
          <w:tcPr>
            <w:tcW w:w="1250" w:type="pct"/>
            <w:tcBorders>
              <w:top w:val="single" w:sz="6" w:space="0" w:color="auto"/>
              <w:left w:val="single" w:sz="6" w:space="0" w:color="auto"/>
              <w:bottom w:val="single" w:sz="6" w:space="0" w:color="auto"/>
              <w:right w:val="single" w:sz="6" w:space="0" w:color="auto"/>
            </w:tcBorders>
          </w:tcPr>
          <w:p w14:paraId="5E95D416"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Housing Activation Industry Group </w:t>
            </w:r>
          </w:p>
        </w:tc>
        <w:tc>
          <w:tcPr>
            <w:tcW w:w="1250" w:type="pct"/>
            <w:tcBorders>
              <w:top w:val="single" w:sz="6" w:space="0" w:color="auto"/>
              <w:left w:val="single" w:sz="6" w:space="0" w:color="auto"/>
              <w:bottom w:val="single" w:sz="6" w:space="0" w:color="auto"/>
              <w:right w:val="single" w:sz="6" w:space="0" w:color="auto"/>
            </w:tcBorders>
          </w:tcPr>
          <w:p w14:paraId="34F637D8"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A group to provide a structured forum for regular engagement with industry representative bodies on infrastructure coordination and housing activation</w:t>
            </w:r>
          </w:p>
        </w:tc>
        <w:tc>
          <w:tcPr>
            <w:tcW w:w="1250" w:type="pct"/>
            <w:tcBorders>
              <w:top w:val="single" w:sz="6" w:space="0" w:color="auto"/>
              <w:left w:val="single" w:sz="6" w:space="0" w:color="auto"/>
              <w:bottom w:val="single" w:sz="6" w:space="0" w:color="auto"/>
              <w:right w:val="single" w:sz="6" w:space="0" w:color="auto"/>
            </w:tcBorders>
          </w:tcPr>
          <w:p w14:paraId="64C929DD"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Quarterly </w:t>
            </w:r>
          </w:p>
        </w:tc>
      </w:tr>
      <w:tr w:rsidR="00364043" w14:paraId="04FDA781" w14:textId="77777777">
        <w:tc>
          <w:tcPr>
            <w:tcW w:w="1250" w:type="pct"/>
            <w:tcBorders>
              <w:top w:val="single" w:sz="6" w:space="0" w:color="auto"/>
              <w:left w:val="single" w:sz="6" w:space="0" w:color="auto"/>
              <w:bottom w:val="single" w:sz="6" w:space="0" w:color="auto"/>
              <w:right w:val="single" w:sz="6" w:space="0" w:color="auto"/>
            </w:tcBorders>
          </w:tcPr>
          <w:p w14:paraId="0EF80AAE"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2025 </w:t>
            </w:r>
          </w:p>
        </w:tc>
        <w:tc>
          <w:tcPr>
            <w:tcW w:w="1250" w:type="pct"/>
            <w:tcBorders>
              <w:top w:val="single" w:sz="6" w:space="0" w:color="auto"/>
              <w:left w:val="single" w:sz="6" w:space="0" w:color="auto"/>
              <w:bottom w:val="single" w:sz="6" w:space="0" w:color="auto"/>
              <w:right w:val="single" w:sz="6" w:space="0" w:color="auto"/>
            </w:tcBorders>
          </w:tcPr>
          <w:p w14:paraId="5CBE7A98"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Working Group to Review Qualifications for Planning Posts in the Local Government Sector </w:t>
            </w:r>
          </w:p>
        </w:tc>
        <w:tc>
          <w:tcPr>
            <w:tcW w:w="1250" w:type="pct"/>
            <w:tcBorders>
              <w:top w:val="single" w:sz="6" w:space="0" w:color="auto"/>
              <w:left w:val="single" w:sz="6" w:space="0" w:color="auto"/>
              <w:bottom w:val="single" w:sz="6" w:space="0" w:color="auto"/>
              <w:right w:val="single" w:sz="6" w:space="0" w:color="auto"/>
            </w:tcBorders>
          </w:tcPr>
          <w:p w14:paraId="1271FAB4"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A group to review qualifications for planning posts in the Local Government Sector </w:t>
            </w:r>
          </w:p>
        </w:tc>
        <w:tc>
          <w:tcPr>
            <w:tcW w:w="1250" w:type="pct"/>
            <w:tcBorders>
              <w:top w:val="single" w:sz="6" w:space="0" w:color="auto"/>
              <w:left w:val="single" w:sz="6" w:space="0" w:color="auto"/>
              <w:bottom w:val="single" w:sz="6" w:space="0" w:color="auto"/>
              <w:right w:val="single" w:sz="6" w:space="0" w:color="auto"/>
            </w:tcBorders>
          </w:tcPr>
          <w:p w14:paraId="39AB8AEE"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As Required </w:t>
            </w:r>
          </w:p>
        </w:tc>
      </w:tr>
      <w:tr w:rsidR="00364043" w14:paraId="5E09A4DE" w14:textId="77777777">
        <w:tc>
          <w:tcPr>
            <w:tcW w:w="1250" w:type="pct"/>
            <w:tcBorders>
              <w:top w:val="single" w:sz="6" w:space="0" w:color="auto"/>
              <w:left w:val="single" w:sz="6" w:space="0" w:color="auto"/>
              <w:bottom w:val="single" w:sz="6" w:space="0" w:color="auto"/>
              <w:right w:val="single" w:sz="6" w:space="0" w:color="auto"/>
            </w:tcBorders>
          </w:tcPr>
          <w:p w14:paraId="120FA794"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2025 </w:t>
            </w:r>
          </w:p>
        </w:tc>
        <w:tc>
          <w:tcPr>
            <w:tcW w:w="1250" w:type="pct"/>
            <w:tcBorders>
              <w:top w:val="single" w:sz="6" w:space="0" w:color="auto"/>
              <w:left w:val="single" w:sz="6" w:space="0" w:color="auto"/>
              <w:bottom w:val="single" w:sz="6" w:space="0" w:color="auto"/>
              <w:right w:val="single" w:sz="6" w:space="0" w:color="auto"/>
            </w:tcBorders>
          </w:tcPr>
          <w:p w14:paraId="7D9C9694"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Local Authority Working Group on Plans</w:t>
            </w:r>
          </w:p>
        </w:tc>
        <w:tc>
          <w:tcPr>
            <w:tcW w:w="1250" w:type="pct"/>
            <w:tcBorders>
              <w:top w:val="single" w:sz="6" w:space="0" w:color="auto"/>
              <w:left w:val="single" w:sz="6" w:space="0" w:color="auto"/>
              <w:bottom w:val="single" w:sz="6" w:space="0" w:color="auto"/>
              <w:right w:val="single" w:sz="6" w:space="0" w:color="auto"/>
            </w:tcBorders>
          </w:tcPr>
          <w:p w14:paraId="7B49A658"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A group is to consider issues regarding the commencement and implementation of Part 3 of the Planning and Development Act 2024</w:t>
            </w:r>
          </w:p>
        </w:tc>
        <w:tc>
          <w:tcPr>
            <w:tcW w:w="1250" w:type="pct"/>
            <w:tcBorders>
              <w:top w:val="single" w:sz="6" w:space="0" w:color="auto"/>
              <w:left w:val="single" w:sz="6" w:space="0" w:color="auto"/>
              <w:bottom w:val="single" w:sz="6" w:space="0" w:color="auto"/>
              <w:right w:val="single" w:sz="6" w:space="0" w:color="auto"/>
            </w:tcBorders>
          </w:tcPr>
          <w:p w14:paraId="537F8477"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As Required</w:t>
            </w:r>
          </w:p>
        </w:tc>
      </w:tr>
      <w:tr w:rsidR="00364043" w14:paraId="31DB6A6D" w14:textId="77777777">
        <w:tc>
          <w:tcPr>
            <w:tcW w:w="1250" w:type="pct"/>
            <w:tcBorders>
              <w:top w:val="single" w:sz="6" w:space="0" w:color="auto"/>
              <w:left w:val="single" w:sz="6" w:space="0" w:color="auto"/>
              <w:bottom w:val="single" w:sz="6" w:space="0" w:color="auto"/>
              <w:right w:val="single" w:sz="6" w:space="0" w:color="auto"/>
            </w:tcBorders>
          </w:tcPr>
          <w:p w14:paraId="3306B81C"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lastRenderedPageBreak/>
              <w:t xml:space="preserve">2025 </w:t>
            </w:r>
          </w:p>
        </w:tc>
        <w:tc>
          <w:tcPr>
            <w:tcW w:w="1250" w:type="pct"/>
            <w:tcBorders>
              <w:top w:val="single" w:sz="6" w:space="0" w:color="auto"/>
              <w:left w:val="single" w:sz="6" w:space="0" w:color="auto"/>
              <w:bottom w:val="single" w:sz="6" w:space="0" w:color="auto"/>
              <w:right w:val="single" w:sz="6" w:space="0" w:color="auto"/>
            </w:tcBorders>
          </w:tcPr>
          <w:p w14:paraId="23D1CD62"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Training Engagement Working Group</w:t>
            </w:r>
          </w:p>
        </w:tc>
        <w:tc>
          <w:tcPr>
            <w:tcW w:w="1250" w:type="pct"/>
            <w:tcBorders>
              <w:top w:val="single" w:sz="6" w:space="0" w:color="auto"/>
              <w:left w:val="single" w:sz="6" w:space="0" w:color="auto"/>
              <w:bottom w:val="single" w:sz="6" w:space="0" w:color="auto"/>
              <w:right w:val="single" w:sz="6" w:space="0" w:color="auto"/>
            </w:tcBorders>
          </w:tcPr>
          <w:p w14:paraId="42C0FFD1"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A group to consider issues regarding all aspects of training and engagement required in respect of the implementation of the Planning and Development Act and to report to the Oversight Group </w:t>
            </w:r>
          </w:p>
        </w:tc>
        <w:tc>
          <w:tcPr>
            <w:tcW w:w="1250" w:type="pct"/>
            <w:tcBorders>
              <w:top w:val="single" w:sz="6" w:space="0" w:color="auto"/>
              <w:left w:val="single" w:sz="6" w:space="0" w:color="auto"/>
              <w:bottom w:val="single" w:sz="6" w:space="0" w:color="auto"/>
              <w:right w:val="single" w:sz="6" w:space="0" w:color="auto"/>
            </w:tcBorders>
          </w:tcPr>
          <w:p w14:paraId="0122DF41"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As Required</w:t>
            </w:r>
          </w:p>
        </w:tc>
      </w:tr>
      <w:tr w:rsidR="00364043" w14:paraId="75063D49" w14:textId="77777777">
        <w:tc>
          <w:tcPr>
            <w:tcW w:w="1250" w:type="pct"/>
            <w:tcBorders>
              <w:top w:val="single" w:sz="6" w:space="0" w:color="auto"/>
              <w:left w:val="single" w:sz="6" w:space="0" w:color="auto"/>
              <w:bottom w:val="single" w:sz="6" w:space="0" w:color="auto"/>
              <w:right w:val="single" w:sz="6" w:space="0" w:color="auto"/>
            </w:tcBorders>
          </w:tcPr>
          <w:p w14:paraId="498E98B6"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2025 </w:t>
            </w:r>
          </w:p>
        </w:tc>
        <w:tc>
          <w:tcPr>
            <w:tcW w:w="1250" w:type="pct"/>
            <w:tcBorders>
              <w:top w:val="single" w:sz="6" w:space="0" w:color="auto"/>
              <w:left w:val="single" w:sz="6" w:space="0" w:color="auto"/>
              <w:bottom w:val="single" w:sz="6" w:space="0" w:color="auto"/>
              <w:right w:val="single" w:sz="6" w:space="0" w:color="auto"/>
            </w:tcBorders>
          </w:tcPr>
          <w:p w14:paraId="7E855D89"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Local Authority Working Group on Regulations </w:t>
            </w:r>
          </w:p>
        </w:tc>
        <w:tc>
          <w:tcPr>
            <w:tcW w:w="1250" w:type="pct"/>
            <w:tcBorders>
              <w:top w:val="single" w:sz="6" w:space="0" w:color="auto"/>
              <w:left w:val="single" w:sz="6" w:space="0" w:color="auto"/>
              <w:bottom w:val="single" w:sz="6" w:space="0" w:color="auto"/>
              <w:right w:val="single" w:sz="6" w:space="0" w:color="auto"/>
            </w:tcBorders>
          </w:tcPr>
          <w:p w14:paraId="5D624A01"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A group to assist in updating and reviewing the planning regulations by providing experience and insight into the practical application of the current planning regulations </w:t>
            </w:r>
          </w:p>
        </w:tc>
        <w:tc>
          <w:tcPr>
            <w:tcW w:w="1250" w:type="pct"/>
            <w:tcBorders>
              <w:top w:val="single" w:sz="6" w:space="0" w:color="auto"/>
              <w:left w:val="single" w:sz="6" w:space="0" w:color="auto"/>
              <w:bottom w:val="single" w:sz="6" w:space="0" w:color="auto"/>
              <w:right w:val="single" w:sz="6" w:space="0" w:color="auto"/>
            </w:tcBorders>
          </w:tcPr>
          <w:p w14:paraId="1EBDDE4F"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Bi-monthly </w:t>
            </w:r>
          </w:p>
        </w:tc>
      </w:tr>
      <w:tr w:rsidR="00364043" w14:paraId="6C41A77E" w14:textId="77777777">
        <w:tc>
          <w:tcPr>
            <w:tcW w:w="1250" w:type="pct"/>
            <w:tcBorders>
              <w:top w:val="single" w:sz="6" w:space="0" w:color="auto"/>
              <w:left w:val="single" w:sz="6" w:space="0" w:color="auto"/>
              <w:bottom w:val="single" w:sz="6" w:space="0" w:color="auto"/>
              <w:right w:val="single" w:sz="6" w:space="0" w:color="auto"/>
            </w:tcBorders>
          </w:tcPr>
          <w:p w14:paraId="0B6A0964"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2025</w:t>
            </w:r>
          </w:p>
        </w:tc>
        <w:tc>
          <w:tcPr>
            <w:tcW w:w="1250" w:type="pct"/>
            <w:tcBorders>
              <w:top w:val="single" w:sz="6" w:space="0" w:color="auto"/>
              <w:left w:val="single" w:sz="6" w:space="0" w:color="auto"/>
              <w:bottom w:val="single" w:sz="6" w:space="0" w:color="auto"/>
              <w:right w:val="single" w:sz="6" w:space="0" w:color="auto"/>
            </w:tcBorders>
          </w:tcPr>
          <w:p w14:paraId="7DF6FC25"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Ministerial Action Plan (MAP) on Planning Resources</w:t>
            </w:r>
            <w:r>
              <w:rPr>
                <w:rFonts w:ascii="Tms Rmn" w:hAnsi="Tms Rmn" w:cs="Tms Rmn"/>
                <w:color w:val="000000"/>
                <w:kern w:val="0"/>
                <w:sz w:val="24"/>
                <w:szCs w:val="24"/>
              </w:rPr>
              <w:br/>
              <w:t>Steering Group</w:t>
            </w:r>
          </w:p>
        </w:tc>
        <w:tc>
          <w:tcPr>
            <w:tcW w:w="1250" w:type="pct"/>
            <w:tcBorders>
              <w:top w:val="single" w:sz="6" w:space="0" w:color="auto"/>
              <w:left w:val="single" w:sz="6" w:space="0" w:color="auto"/>
              <w:bottom w:val="single" w:sz="6" w:space="0" w:color="auto"/>
              <w:right w:val="single" w:sz="6" w:space="0" w:color="auto"/>
            </w:tcBorders>
          </w:tcPr>
          <w:p w14:paraId="073407D6"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Recognising the need for a sector-wide approach and response in relation to planning resources, my </w:t>
            </w:r>
            <w:proofErr w:type="gramStart"/>
            <w:r>
              <w:rPr>
                <w:rFonts w:ascii="Tms Rmn" w:hAnsi="Tms Rmn" w:cs="Tms Rmn"/>
                <w:color w:val="000000"/>
                <w:kern w:val="0"/>
                <w:sz w:val="24"/>
                <w:szCs w:val="24"/>
              </w:rPr>
              <w:t>Department</w:t>
            </w:r>
            <w:proofErr w:type="gramEnd"/>
            <w:r>
              <w:rPr>
                <w:rFonts w:ascii="Tms Rmn" w:hAnsi="Tms Rmn" w:cs="Tms Rmn"/>
                <w:color w:val="000000"/>
                <w:kern w:val="0"/>
                <w:sz w:val="24"/>
                <w:szCs w:val="24"/>
              </w:rPr>
              <w:t xml:space="preserve"> established a Steering Group in April 2024 to coordinate and oversee the development of the Draft Ministerial Action Plan on Planning Resources</w:t>
            </w:r>
            <w:r>
              <w:rPr>
                <w:rFonts w:ascii="Tms Rmn" w:hAnsi="Tms Rmn" w:cs="Tms Rmn"/>
                <w:color w:val="000000"/>
                <w:kern w:val="0"/>
                <w:sz w:val="24"/>
                <w:szCs w:val="24"/>
              </w:rPr>
              <w:br/>
              <w:t xml:space="preserve"> </w:t>
            </w:r>
            <w:r>
              <w:rPr>
                <w:rFonts w:ascii="Tms Rmn" w:hAnsi="Tms Rmn" w:cs="Tms Rmn"/>
                <w:color w:val="000000"/>
                <w:kern w:val="0"/>
                <w:sz w:val="24"/>
                <w:szCs w:val="24"/>
              </w:rPr>
              <w:br/>
              <w:t>The working groups below report to the Steering Group</w:t>
            </w:r>
          </w:p>
        </w:tc>
        <w:tc>
          <w:tcPr>
            <w:tcW w:w="1250" w:type="pct"/>
            <w:tcBorders>
              <w:top w:val="single" w:sz="6" w:space="0" w:color="auto"/>
              <w:left w:val="single" w:sz="6" w:space="0" w:color="auto"/>
              <w:bottom w:val="single" w:sz="6" w:space="0" w:color="auto"/>
              <w:right w:val="single" w:sz="6" w:space="0" w:color="auto"/>
            </w:tcBorders>
          </w:tcPr>
          <w:p w14:paraId="721D61E6"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Quarterly</w:t>
            </w:r>
          </w:p>
        </w:tc>
      </w:tr>
      <w:tr w:rsidR="00364043" w14:paraId="76A4812E" w14:textId="77777777">
        <w:tc>
          <w:tcPr>
            <w:tcW w:w="1250" w:type="pct"/>
            <w:tcBorders>
              <w:top w:val="single" w:sz="6" w:space="0" w:color="auto"/>
              <w:left w:val="single" w:sz="6" w:space="0" w:color="auto"/>
              <w:bottom w:val="single" w:sz="6" w:space="0" w:color="auto"/>
              <w:right w:val="single" w:sz="6" w:space="0" w:color="auto"/>
            </w:tcBorders>
          </w:tcPr>
          <w:p w14:paraId="2DC37F31"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2025</w:t>
            </w:r>
          </w:p>
        </w:tc>
        <w:tc>
          <w:tcPr>
            <w:tcW w:w="1250" w:type="pct"/>
            <w:tcBorders>
              <w:top w:val="single" w:sz="6" w:space="0" w:color="auto"/>
              <w:left w:val="single" w:sz="6" w:space="0" w:color="auto"/>
              <w:bottom w:val="single" w:sz="6" w:space="0" w:color="auto"/>
              <w:right w:val="single" w:sz="6" w:space="0" w:color="auto"/>
            </w:tcBorders>
          </w:tcPr>
          <w:p w14:paraId="3FF33C5D"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Planning Enforcement (Peatlands and Quarries) National Steering Group </w:t>
            </w:r>
          </w:p>
        </w:tc>
        <w:tc>
          <w:tcPr>
            <w:tcW w:w="1250" w:type="pct"/>
            <w:tcBorders>
              <w:top w:val="single" w:sz="6" w:space="0" w:color="auto"/>
              <w:left w:val="single" w:sz="6" w:space="0" w:color="auto"/>
              <w:bottom w:val="single" w:sz="6" w:space="0" w:color="auto"/>
              <w:right w:val="single" w:sz="6" w:space="0" w:color="auto"/>
            </w:tcBorders>
          </w:tcPr>
          <w:p w14:paraId="715F9326"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A group to coordinate and support local authorities in the enforcement of planning legislation on unauthorised peat extraction and quarry sites, ensuring effective, consistent and properly resourced enforcement action across all identified sites</w:t>
            </w:r>
          </w:p>
        </w:tc>
        <w:tc>
          <w:tcPr>
            <w:tcW w:w="1250" w:type="pct"/>
            <w:tcBorders>
              <w:top w:val="single" w:sz="6" w:space="0" w:color="auto"/>
              <w:left w:val="single" w:sz="6" w:space="0" w:color="auto"/>
              <w:bottom w:val="single" w:sz="6" w:space="0" w:color="auto"/>
              <w:right w:val="single" w:sz="6" w:space="0" w:color="auto"/>
            </w:tcBorders>
          </w:tcPr>
          <w:p w14:paraId="7A9D1110"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Quarterly</w:t>
            </w:r>
          </w:p>
        </w:tc>
      </w:tr>
      <w:tr w:rsidR="00364043" w14:paraId="3B41F39F" w14:textId="77777777">
        <w:tc>
          <w:tcPr>
            <w:tcW w:w="1250" w:type="pct"/>
            <w:tcBorders>
              <w:top w:val="single" w:sz="6" w:space="0" w:color="auto"/>
              <w:left w:val="single" w:sz="6" w:space="0" w:color="auto"/>
              <w:bottom w:val="single" w:sz="6" w:space="0" w:color="auto"/>
              <w:right w:val="single" w:sz="6" w:space="0" w:color="auto"/>
            </w:tcBorders>
          </w:tcPr>
          <w:p w14:paraId="1FFCB0FB"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lastRenderedPageBreak/>
              <w:t xml:space="preserve">2025 </w:t>
            </w:r>
          </w:p>
        </w:tc>
        <w:tc>
          <w:tcPr>
            <w:tcW w:w="1250" w:type="pct"/>
            <w:tcBorders>
              <w:top w:val="single" w:sz="6" w:space="0" w:color="auto"/>
              <w:left w:val="single" w:sz="6" w:space="0" w:color="auto"/>
              <w:bottom w:val="single" w:sz="6" w:space="0" w:color="auto"/>
              <w:right w:val="single" w:sz="6" w:space="0" w:color="auto"/>
            </w:tcBorders>
          </w:tcPr>
          <w:p w14:paraId="3C1E5CFC"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National Planning Statement Short-term letting Working Group </w:t>
            </w:r>
          </w:p>
        </w:tc>
        <w:tc>
          <w:tcPr>
            <w:tcW w:w="1250" w:type="pct"/>
            <w:tcBorders>
              <w:top w:val="single" w:sz="6" w:space="0" w:color="auto"/>
              <w:left w:val="single" w:sz="6" w:space="0" w:color="auto"/>
              <w:bottom w:val="single" w:sz="6" w:space="0" w:color="auto"/>
              <w:right w:val="single" w:sz="6" w:space="0" w:color="auto"/>
            </w:tcBorders>
          </w:tcPr>
          <w:p w14:paraId="73E1F42E"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A group to assist with the development of the National Planning Statement (NPS) on short-term letting</w:t>
            </w:r>
          </w:p>
        </w:tc>
        <w:tc>
          <w:tcPr>
            <w:tcW w:w="1250" w:type="pct"/>
            <w:tcBorders>
              <w:top w:val="single" w:sz="6" w:space="0" w:color="auto"/>
              <w:left w:val="single" w:sz="6" w:space="0" w:color="auto"/>
              <w:bottom w:val="single" w:sz="6" w:space="0" w:color="auto"/>
              <w:right w:val="single" w:sz="6" w:space="0" w:color="auto"/>
            </w:tcBorders>
          </w:tcPr>
          <w:p w14:paraId="3E61713D"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Quarterly</w:t>
            </w:r>
          </w:p>
        </w:tc>
      </w:tr>
      <w:tr w:rsidR="00364043" w14:paraId="653BE2F4" w14:textId="77777777">
        <w:tc>
          <w:tcPr>
            <w:tcW w:w="1250" w:type="pct"/>
            <w:tcBorders>
              <w:top w:val="single" w:sz="6" w:space="0" w:color="auto"/>
              <w:left w:val="single" w:sz="6" w:space="0" w:color="auto"/>
              <w:bottom w:val="single" w:sz="6" w:space="0" w:color="auto"/>
              <w:right w:val="single" w:sz="6" w:space="0" w:color="auto"/>
            </w:tcBorders>
          </w:tcPr>
          <w:p w14:paraId="6C2BF905"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2025 </w:t>
            </w:r>
          </w:p>
        </w:tc>
        <w:tc>
          <w:tcPr>
            <w:tcW w:w="1250" w:type="pct"/>
            <w:tcBorders>
              <w:top w:val="single" w:sz="6" w:space="0" w:color="auto"/>
              <w:left w:val="single" w:sz="6" w:space="0" w:color="auto"/>
              <w:bottom w:val="single" w:sz="6" w:space="0" w:color="auto"/>
              <w:right w:val="single" w:sz="6" w:space="0" w:color="auto"/>
            </w:tcBorders>
          </w:tcPr>
          <w:p w14:paraId="6DFD21FC"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Sub-Group of Water Policy Advisory Committee: Catchment Management Work Plan Review Working Group</w:t>
            </w:r>
          </w:p>
        </w:tc>
        <w:tc>
          <w:tcPr>
            <w:tcW w:w="1250" w:type="pct"/>
            <w:tcBorders>
              <w:top w:val="single" w:sz="6" w:space="0" w:color="auto"/>
              <w:left w:val="single" w:sz="6" w:space="0" w:color="auto"/>
              <w:bottom w:val="single" w:sz="6" w:space="0" w:color="auto"/>
              <w:right w:val="single" w:sz="6" w:space="0" w:color="auto"/>
            </w:tcBorders>
          </w:tcPr>
          <w:p w14:paraId="230DB36A"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A group to review data to progress development of Catchment Management Work Plans and to examine blockages such as data-sharing among implementation bodies </w:t>
            </w:r>
          </w:p>
        </w:tc>
        <w:tc>
          <w:tcPr>
            <w:tcW w:w="1250" w:type="pct"/>
            <w:tcBorders>
              <w:top w:val="single" w:sz="6" w:space="0" w:color="auto"/>
              <w:left w:val="single" w:sz="6" w:space="0" w:color="auto"/>
              <w:bottom w:val="single" w:sz="6" w:space="0" w:color="auto"/>
              <w:right w:val="single" w:sz="6" w:space="0" w:color="auto"/>
            </w:tcBorders>
          </w:tcPr>
          <w:p w14:paraId="5FA8AE84"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Monthly </w:t>
            </w:r>
          </w:p>
        </w:tc>
      </w:tr>
      <w:tr w:rsidR="00364043" w14:paraId="62BAC0FF" w14:textId="77777777">
        <w:tc>
          <w:tcPr>
            <w:tcW w:w="1250" w:type="pct"/>
            <w:tcBorders>
              <w:top w:val="single" w:sz="6" w:space="0" w:color="auto"/>
              <w:left w:val="single" w:sz="6" w:space="0" w:color="auto"/>
              <w:bottom w:val="single" w:sz="6" w:space="0" w:color="auto"/>
              <w:right w:val="single" w:sz="6" w:space="0" w:color="auto"/>
            </w:tcBorders>
          </w:tcPr>
          <w:p w14:paraId="457EA526"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2025 </w:t>
            </w:r>
          </w:p>
        </w:tc>
        <w:tc>
          <w:tcPr>
            <w:tcW w:w="1250" w:type="pct"/>
            <w:tcBorders>
              <w:top w:val="single" w:sz="6" w:space="0" w:color="auto"/>
              <w:left w:val="single" w:sz="6" w:space="0" w:color="auto"/>
              <w:bottom w:val="single" w:sz="6" w:space="0" w:color="auto"/>
              <w:right w:val="single" w:sz="6" w:space="0" w:color="auto"/>
            </w:tcBorders>
          </w:tcPr>
          <w:p w14:paraId="26927BF9"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National Shellfish Waters Expert Group </w:t>
            </w:r>
          </w:p>
        </w:tc>
        <w:tc>
          <w:tcPr>
            <w:tcW w:w="1250" w:type="pct"/>
            <w:tcBorders>
              <w:top w:val="single" w:sz="6" w:space="0" w:color="auto"/>
              <w:left w:val="single" w:sz="6" w:space="0" w:color="auto"/>
              <w:bottom w:val="single" w:sz="6" w:space="0" w:color="auto"/>
              <w:right w:val="single" w:sz="6" w:space="0" w:color="auto"/>
            </w:tcBorders>
          </w:tcPr>
          <w:p w14:paraId="5CAAB8C7"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A group to support the development of policy to provide protection in shellfish waters </w:t>
            </w:r>
          </w:p>
        </w:tc>
        <w:tc>
          <w:tcPr>
            <w:tcW w:w="1250" w:type="pct"/>
            <w:tcBorders>
              <w:top w:val="single" w:sz="6" w:space="0" w:color="auto"/>
              <w:left w:val="single" w:sz="6" w:space="0" w:color="auto"/>
              <w:bottom w:val="single" w:sz="6" w:space="0" w:color="auto"/>
              <w:right w:val="single" w:sz="6" w:space="0" w:color="auto"/>
            </w:tcBorders>
          </w:tcPr>
          <w:p w14:paraId="1C7F8269"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3/4 Meetings Per Annum </w:t>
            </w:r>
          </w:p>
        </w:tc>
      </w:tr>
      <w:tr w:rsidR="00364043" w14:paraId="3E6F4C04" w14:textId="77777777">
        <w:tc>
          <w:tcPr>
            <w:tcW w:w="1250" w:type="pct"/>
            <w:tcBorders>
              <w:top w:val="single" w:sz="6" w:space="0" w:color="auto"/>
              <w:left w:val="single" w:sz="6" w:space="0" w:color="auto"/>
              <w:bottom w:val="single" w:sz="6" w:space="0" w:color="auto"/>
              <w:right w:val="single" w:sz="6" w:space="0" w:color="auto"/>
            </w:tcBorders>
          </w:tcPr>
          <w:p w14:paraId="318AE216"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2025 </w:t>
            </w:r>
          </w:p>
        </w:tc>
        <w:tc>
          <w:tcPr>
            <w:tcW w:w="1250" w:type="pct"/>
            <w:tcBorders>
              <w:top w:val="single" w:sz="6" w:space="0" w:color="auto"/>
              <w:left w:val="single" w:sz="6" w:space="0" w:color="auto"/>
              <w:bottom w:val="single" w:sz="6" w:space="0" w:color="auto"/>
              <w:right w:val="single" w:sz="6" w:space="0" w:color="auto"/>
            </w:tcBorders>
          </w:tcPr>
          <w:p w14:paraId="38102B9A"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Sub-group of National Co-ordination Management Committee: Fourth Cycle Programme of Measures Working Group </w:t>
            </w:r>
          </w:p>
        </w:tc>
        <w:tc>
          <w:tcPr>
            <w:tcW w:w="1250" w:type="pct"/>
            <w:tcBorders>
              <w:top w:val="single" w:sz="6" w:space="0" w:color="auto"/>
              <w:left w:val="single" w:sz="6" w:space="0" w:color="auto"/>
              <w:bottom w:val="single" w:sz="6" w:space="0" w:color="auto"/>
              <w:right w:val="single" w:sz="6" w:space="0" w:color="auto"/>
            </w:tcBorders>
          </w:tcPr>
          <w:p w14:paraId="5F6582F8"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A group to assist the National Coordination Management Committee in the development of the Programme of Measures for the Water Action Plan 2028-2033 </w:t>
            </w:r>
          </w:p>
        </w:tc>
        <w:tc>
          <w:tcPr>
            <w:tcW w:w="1250" w:type="pct"/>
            <w:tcBorders>
              <w:top w:val="single" w:sz="6" w:space="0" w:color="auto"/>
              <w:left w:val="single" w:sz="6" w:space="0" w:color="auto"/>
              <w:bottom w:val="single" w:sz="6" w:space="0" w:color="auto"/>
              <w:right w:val="single" w:sz="6" w:space="0" w:color="auto"/>
            </w:tcBorders>
          </w:tcPr>
          <w:p w14:paraId="545E3DA2"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Monthly </w:t>
            </w:r>
          </w:p>
        </w:tc>
      </w:tr>
      <w:tr w:rsidR="00364043" w14:paraId="3031441E" w14:textId="77777777">
        <w:tc>
          <w:tcPr>
            <w:tcW w:w="1250" w:type="pct"/>
            <w:tcBorders>
              <w:top w:val="single" w:sz="6" w:space="0" w:color="auto"/>
              <w:left w:val="single" w:sz="6" w:space="0" w:color="auto"/>
              <w:bottom w:val="single" w:sz="6" w:space="0" w:color="auto"/>
              <w:right w:val="single" w:sz="6" w:space="0" w:color="auto"/>
            </w:tcBorders>
          </w:tcPr>
          <w:p w14:paraId="4EC3F8F7"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2025 </w:t>
            </w:r>
          </w:p>
        </w:tc>
        <w:tc>
          <w:tcPr>
            <w:tcW w:w="1250" w:type="pct"/>
            <w:tcBorders>
              <w:top w:val="single" w:sz="6" w:space="0" w:color="auto"/>
              <w:left w:val="single" w:sz="6" w:space="0" w:color="auto"/>
              <w:bottom w:val="single" w:sz="6" w:space="0" w:color="auto"/>
              <w:right w:val="single" w:sz="6" w:space="0" w:color="auto"/>
            </w:tcBorders>
          </w:tcPr>
          <w:p w14:paraId="4F32E875"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National Drinking Water Expert group </w:t>
            </w:r>
          </w:p>
        </w:tc>
        <w:tc>
          <w:tcPr>
            <w:tcW w:w="1250" w:type="pct"/>
            <w:tcBorders>
              <w:top w:val="single" w:sz="6" w:space="0" w:color="auto"/>
              <w:left w:val="single" w:sz="6" w:space="0" w:color="auto"/>
              <w:bottom w:val="single" w:sz="6" w:space="0" w:color="auto"/>
              <w:right w:val="single" w:sz="6" w:space="0" w:color="auto"/>
            </w:tcBorders>
          </w:tcPr>
          <w:p w14:paraId="6F0CAA57"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A group to facilitate the implementation of the Drinking Water Directive</w:t>
            </w:r>
          </w:p>
        </w:tc>
        <w:tc>
          <w:tcPr>
            <w:tcW w:w="1250" w:type="pct"/>
            <w:tcBorders>
              <w:top w:val="single" w:sz="6" w:space="0" w:color="auto"/>
              <w:left w:val="single" w:sz="6" w:space="0" w:color="auto"/>
              <w:bottom w:val="single" w:sz="6" w:space="0" w:color="auto"/>
              <w:right w:val="single" w:sz="6" w:space="0" w:color="auto"/>
            </w:tcBorders>
          </w:tcPr>
          <w:p w14:paraId="53EFC3A4"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3 Meetings Per Annum </w:t>
            </w:r>
          </w:p>
        </w:tc>
      </w:tr>
      <w:tr w:rsidR="00364043" w14:paraId="21A11E33" w14:textId="77777777">
        <w:tc>
          <w:tcPr>
            <w:tcW w:w="1250" w:type="pct"/>
            <w:tcBorders>
              <w:top w:val="single" w:sz="6" w:space="0" w:color="auto"/>
              <w:left w:val="single" w:sz="6" w:space="0" w:color="auto"/>
              <w:bottom w:val="single" w:sz="6" w:space="0" w:color="auto"/>
              <w:right w:val="single" w:sz="6" w:space="0" w:color="auto"/>
            </w:tcBorders>
          </w:tcPr>
          <w:p w14:paraId="6D0F0F0F"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2025 </w:t>
            </w:r>
          </w:p>
        </w:tc>
        <w:tc>
          <w:tcPr>
            <w:tcW w:w="1250" w:type="pct"/>
            <w:tcBorders>
              <w:top w:val="single" w:sz="6" w:space="0" w:color="auto"/>
              <w:left w:val="single" w:sz="6" w:space="0" w:color="auto"/>
              <w:bottom w:val="single" w:sz="6" w:space="0" w:color="auto"/>
              <w:right w:val="single" w:sz="6" w:space="0" w:color="auto"/>
            </w:tcBorders>
          </w:tcPr>
          <w:p w14:paraId="75C19C52"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Drinking Water </w:t>
            </w:r>
            <w:proofErr w:type="gramStart"/>
            <w:r>
              <w:rPr>
                <w:rFonts w:ascii="Tms Rmn" w:hAnsi="Tms Rmn" w:cs="Tms Rmn"/>
                <w:color w:val="000000"/>
                <w:kern w:val="0"/>
                <w:sz w:val="24"/>
                <w:szCs w:val="24"/>
              </w:rPr>
              <w:t>Monitoring  Sub</w:t>
            </w:r>
            <w:proofErr w:type="gramEnd"/>
            <w:r>
              <w:rPr>
                <w:rFonts w:ascii="Tms Rmn" w:hAnsi="Tms Rmn" w:cs="Tms Rmn"/>
                <w:color w:val="000000"/>
                <w:kern w:val="0"/>
                <w:sz w:val="24"/>
                <w:szCs w:val="24"/>
              </w:rPr>
              <w:t xml:space="preserve">-Group </w:t>
            </w:r>
          </w:p>
        </w:tc>
        <w:tc>
          <w:tcPr>
            <w:tcW w:w="1250" w:type="pct"/>
            <w:tcBorders>
              <w:top w:val="single" w:sz="6" w:space="0" w:color="auto"/>
              <w:left w:val="single" w:sz="6" w:space="0" w:color="auto"/>
              <w:bottom w:val="single" w:sz="6" w:space="0" w:color="auto"/>
              <w:right w:val="single" w:sz="6" w:space="0" w:color="auto"/>
            </w:tcBorders>
          </w:tcPr>
          <w:p w14:paraId="1F96E8F5"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A group to facilitate the implementation of the Drinking Water Directive</w:t>
            </w:r>
          </w:p>
        </w:tc>
        <w:tc>
          <w:tcPr>
            <w:tcW w:w="1250" w:type="pct"/>
            <w:tcBorders>
              <w:top w:val="single" w:sz="6" w:space="0" w:color="auto"/>
              <w:left w:val="single" w:sz="6" w:space="0" w:color="auto"/>
              <w:bottom w:val="single" w:sz="6" w:space="0" w:color="auto"/>
              <w:right w:val="single" w:sz="6" w:space="0" w:color="auto"/>
            </w:tcBorders>
          </w:tcPr>
          <w:p w14:paraId="7B73B985"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4 Meetings Per Annum </w:t>
            </w:r>
          </w:p>
        </w:tc>
      </w:tr>
      <w:tr w:rsidR="00364043" w14:paraId="2AA8F4C7" w14:textId="77777777">
        <w:tc>
          <w:tcPr>
            <w:tcW w:w="1250" w:type="pct"/>
            <w:tcBorders>
              <w:top w:val="single" w:sz="6" w:space="0" w:color="auto"/>
              <w:left w:val="single" w:sz="6" w:space="0" w:color="auto"/>
              <w:bottom w:val="single" w:sz="6" w:space="0" w:color="auto"/>
              <w:right w:val="single" w:sz="6" w:space="0" w:color="auto"/>
            </w:tcBorders>
          </w:tcPr>
          <w:p w14:paraId="3D10602C"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2025 </w:t>
            </w:r>
          </w:p>
        </w:tc>
        <w:tc>
          <w:tcPr>
            <w:tcW w:w="1250" w:type="pct"/>
            <w:tcBorders>
              <w:top w:val="single" w:sz="6" w:space="0" w:color="auto"/>
              <w:left w:val="single" w:sz="6" w:space="0" w:color="auto"/>
              <w:bottom w:val="single" w:sz="6" w:space="0" w:color="auto"/>
              <w:right w:val="single" w:sz="6" w:space="0" w:color="auto"/>
            </w:tcBorders>
          </w:tcPr>
          <w:p w14:paraId="38464310"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Risk Assessment – Domestic Distribution Systems Sub-Group</w:t>
            </w:r>
          </w:p>
        </w:tc>
        <w:tc>
          <w:tcPr>
            <w:tcW w:w="1250" w:type="pct"/>
            <w:tcBorders>
              <w:top w:val="single" w:sz="6" w:space="0" w:color="auto"/>
              <w:left w:val="single" w:sz="6" w:space="0" w:color="auto"/>
              <w:bottom w:val="single" w:sz="6" w:space="0" w:color="auto"/>
              <w:right w:val="single" w:sz="6" w:space="0" w:color="auto"/>
            </w:tcBorders>
          </w:tcPr>
          <w:p w14:paraId="7A8796CC"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A group to facilitate the implementation of the Drinking Water Directive </w:t>
            </w:r>
          </w:p>
        </w:tc>
        <w:tc>
          <w:tcPr>
            <w:tcW w:w="1250" w:type="pct"/>
            <w:tcBorders>
              <w:top w:val="single" w:sz="6" w:space="0" w:color="auto"/>
              <w:left w:val="single" w:sz="6" w:space="0" w:color="auto"/>
              <w:bottom w:val="single" w:sz="6" w:space="0" w:color="auto"/>
              <w:right w:val="single" w:sz="6" w:space="0" w:color="auto"/>
            </w:tcBorders>
          </w:tcPr>
          <w:p w14:paraId="3EB11615"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4 Meetings Per Annum </w:t>
            </w:r>
          </w:p>
        </w:tc>
      </w:tr>
      <w:tr w:rsidR="00364043" w14:paraId="672C6BF3" w14:textId="77777777">
        <w:tc>
          <w:tcPr>
            <w:tcW w:w="1250" w:type="pct"/>
            <w:tcBorders>
              <w:top w:val="single" w:sz="6" w:space="0" w:color="auto"/>
              <w:left w:val="single" w:sz="6" w:space="0" w:color="auto"/>
              <w:bottom w:val="single" w:sz="6" w:space="0" w:color="auto"/>
              <w:right w:val="single" w:sz="6" w:space="0" w:color="auto"/>
            </w:tcBorders>
          </w:tcPr>
          <w:p w14:paraId="2EC34545"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2025 </w:t>
            </w:r>
          </w:p>
        </w:tc>
        <w:tc>
          <w:tcPr>
            <w:tcW w:w="1250" w:type="pct"/>
            <w:tcBorders>
              <w:top w:val="single" w:sz="6" w:space="0" w:color="auto"/>
              <w:left w:val="single" w:sz="6" w:space="0" w:color="auto"/>
              <w:bottom w:val="single" w:sz="6" w:space="0" w:color="auto"/>
              <w:right w:val="single" w:sz="6" w:space="0" w:color="auto"/>
            </w:tcBorders>
          </w:tcPr>
          <w:p w14:paraId="14452CC7"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Materials &amp; Substances in Contact with Water Sub-Group</w:t>
            </w:r>
          </w:p>
        </w:tc>
        <w:tc>
          <w:tcPr>
            <w:tcW w:w="1250" w:type="pct"/>
            <w:tcBorders>
              <w:top w:val="single" w:sz="6" w:space="0" w:color="auto"/>
              <w:left w:val="single" w:sz="6" w:space="0" w:color="auto"/>
              <w:bottom w:val="single" w:sz="6" w:space="0" w:color="auto"/>
              <w:right w:val="single" w:sz="6" w:space="0" w:color="auto"/>
            </w:tcBorders>
          </w:tcPr>
          <w:p w14:paraId="3CD3976C"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A group to facilitate the implementation of the Drinking Water Directive </w:t>
            </w:r>
          </w:p>
        </w:tc>
        <w:tc>
          <w:tcPr>
            <w:tcW w:w="1250" w:type="pct"/>
            <w:tcBorders>
              <w:top w:val="single" w:sz="6" w:space="0" w:color="auto"/>
              <w:left w:val="single" w:sz="6" w:space="0" w:color="auto"/>
              <w:bottom w:val="single" w:sz="6" w:space="0" w:color="auto"/>
              <w:right w:val="single" w:sz="6" w:space="0" w:color="auto"/>
            </w:tcBorders>
          </w:tcPr>
          <w:p w14:paraId="1C64EEDE"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As Required </w:t>
            </w:r>
          </w:p>
        </w:tc>
      </w:tr>
      <w:tr w:rsidR="00364043" w14:paraId="488AB44A" w14:textId="77777777">
        <w:tc>
          <w:tcPr>
            <w:tcW w:w="1250" w:type="pct"/>
            <w:tcBorders>
              <w:top w:val="single" w:sz="6" w:space="0" w:color="auto"/>
              <w:left w:val="single" w:sz="6" w:space="0" w:color="auto"/>
              <w:bottom w:val="single" w:sz="6" w:space="0" w:color="auto"/>
              <w:right w:val="single" w:sz="6" w:space="0" w:color="auto"/>
            </w:tcBorders>
          </w:tcPr>
          <w:p w14:paraId="2E36370C"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2025 </w:t>
            </w:r>
          </w:p>
        </w:tc>
        <w:tc>
          <w:tcPr>
            <w:tcW w:w="1250" w:type="pct"/>
            <w:tcBorders>
              <w:top w:val="single" w:sz="6" w:space="0" w:color="auto"/>
              <w:left w:val="single" w:sz="6" w:space="0" w:color="auto"/>
              <w:bottom w:val="single" w:sz="6" w:space="0" w:color="auto"/>
              <w:right w:val="single" w:sz="6" w:space="0" w:color="auto"/>
            </w:tcBorders>
          </w:tcPr>
          <w:p w14:paraId="70EAA52B"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Leakage Sub-Group </w:t>
            </w:r>
          </w:p>
        </w:tc>
        <w:tc>
          <w:tcPr>
            <w:tcW w:w="1250" w:type="pct"/>
            <w:tcBorders>
              <w:top w:val="single" w:sz="6" w:space="0" w:color="auto"/>
              <w:left w:val="single" w:sz="6" w:space="0" w:color="auto"/>
              <w:bottom w:val="single" w:sz="6" w:space="0" w:color="auto"/>
              <w:right w:val="single" w:sz="6" w:space="0" w:color="auto"/>
            </w:tcBorders>
          </w:tcPr>
          <w:p w14:paraId="74CF4C58"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A group to facilitate the implementation of the Drinking Water Directive </w:t>
            </w:r>
          </w:p>
        </w:tc>
        <w:tc>
          <w:tcPr>
            <w:tcW w:w="1250" w:type="pct"/>
            <w:tcBorders>
              <w:top w:val="single" w:sz="6" w:space="0" w:color="auto"/>
              <w:left w:val="single" w:sz="6" w:space="0" w:color="auto"/>
              <w:bottom w:val="single" w:sz="6" w:space="0" w:color="auto"/>
              <w:right w:val="single" w:sz="6" w:space="0" w:color="auto"/>
            </w:tcBorders>
          </w:tcPr>
          <w:p w14:paraId="4FB0B132"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5 Meetings Per Annum </w:t>
            </w:r>
          </w:p>
        </w:tc>
      </w:tr>
      <w:tr w:rsidR="00364043" w14:paraId="700EC3D7" w14:textId="77777777">
        <w:tc>
          <w:tcPr>
            <w:tcW w:w="1250" w:type="pct"/>
            <w:tcBorders>
              <w:top w:val="single" w:sz="6" w:space="0" w:color="auto"/>
              <w:left w:val="single" w:sz="6" w:space="0" w:color="auto"/>
              <w:bottom w:val="single" w:sz="6" w:space="0" w:color="auto"/>
              <w:right w:val="single" w:sz="6" w:space="0" w:color="auto"/>
            </w:tcBorders>
          </w:tcPr>
          <w:p w14:paraId="0C334EA8"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lastRenderedPageBreak/>
              <w:t xml:space="preserve">2025 </w:t>
            </w:r>
          </w:p>
        </w:tc>
        <w:tc>
          <w:tcPr>
            <w:tcW w:w="1250" w:type="pct"/>
            <w:tcBorders>
              <w:top w:val="single" w:sz="6" w:space="0" w:color="auto"/>
              <w:left w:val="single" w:sz="6" w:space="0" w:color="auto"/>
              <w:bottom w:val="single" w:sz="6" w:space="0" w:color="auto"/>
              <w:right w:val="single" w:sz="6" w:space="0" w:color="auto"/>
            </w:tcBorders>
          </w:tcPr>
          <w:p w14:paraId="275D395B"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Food Business Operators (FBOs) Exemptions Sub-Group</w:t>
            </w:r>
          </w:p>
        </w:tc>
        <w:tc>
          <w:tcPr>
            <w:tcW w:w="1250" w:type="pct"/>
            <w:tcBorders>
              <w:top w:val="single" w:sz="6" w:space="0" w:color="auto"/>
              <w:left w:val="single" w:sz="6" w:space="0" w:color="auto"/>
              <w:bottom w:val="single" w:sz="6" w:space="0" w:color="auto"/>
              <w:right w:val="single" w:sz="6" w:space="0" w:color="auto"/>
            </w:tcBorders>
          </w:tcPr>
          <w:p w14:paraId="3E6E25FC"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A group to facilitate the implementation of the Drinking Water Directive </w:t>
            </w:r>
          </w:p>
        </w:tc>
        <w:tc>
          <w:tcPr>
            <w:tcW w:w="1250" w:type="pct"/>
            <w:tcBorders>
              <w:top w:val="single" w:sz="6" w:space="0" w:color="auto"/>
              <w:left w:val="single" w:sz="6" w:space="0" w:color="auto"/>
              <w:bottom w:val="single" w:sz="6" w:space="0" w:color="auto"/>
              <w:right w:val="single" w:sz="6" w:space="0" w:color="auto"/>
            </w:tcBorders>
          </w:tcPr>
          <w:p w14:paraId="22B40ACB"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5 Meetings Per Annum </w:t>
            </w:r>
          </w:p>
        </w:tc>
      </w:tr>
      <w:tr w:rsidR="00364043" w14:paraId="29A964F7" w14:textId="77777777">
        <w:tc>
          <w:tcPr>
            <w:tcW w:w="1250" w:type="pct"/>
            <w:tcBorders>
              <w:top w:val="single" w:sz="6" w:space="0" w:color="auto"/>
              <w:left w:val="single" w:sz="6" w:space="0" w:color="auto"/>
              <w:bottom w:val="single" w:sz="6" w:space="0" w:color="auto"/>
              <w:right w:val="single" w:sz="6" w:space="0" w:color="auto"/>
            </w:tcBorders>
          </w:tcPr>
          <w:p w14:paraId="017C14DB"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2025 </w:t>
            </w:r>
          </w:p>
        </w:tc>
        <w:tc>
          <w:tcPr>
            <w:tcW w:w="1250" w:type="pct"/>
            <w:tcBorders>
              <w:top w:val="single" w:sz="6" w:space="0" w:color="auto"/>
              <w:left w:val="single" w:sz="6" w:space="0" w:color="auto"/>
              <w:bottom w:val="single" w:sz="6" w:space="0" w:color="auto"/>
              <w:right w:val="single" w:sz="6" w:space="0" w:color="auto"/>
            </w:tcBorders>
          </w:tcPr>
          <w:p w14:paraId="1038D1E1"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National Water Conservation Working Group </w:t>
            </w:r>
          </w:p>
        </w:tc>
        <w:tc>
          <w:tcPr>
            <w:tcW w:w="1250" w:type="pct"/>
            <w:tcBorders>
              <w:top w:val="single" w:sz="6" w:space="0" w:color="auto"/>
              <w:left w:val="single" w:sz="6" w:space="0" w:color="auto"/>
              <w:bottom w:val="single" w:sz="6" w:space="0" w:color="auto"/>
              <w:right w:val="single" w:sz="6" w:space="0" w:color="auto"/>
            </w:tcBorders>
          </w:tcPr>
          <w:p w14:paraId="6ED860AE"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A group to discuss issues relating to water conservation and water resilience strategy </w:t>
            </w:r>
          </w:p>
        </w:tc>
        <w:tc>
          <w:tcPr>
            <w:tcW w:w="1250" w:type="pct"/>
            <w:tcBorders>
              <w:top w:val="single" w:sz="6" w:space="0" w:color="auto"/>
              <w:left w:val="single" w:sz="6" w:space="0" w:color="auto"/>
              <w:bottom w:val="single" w:sz="6" w:space="0" w:color="auto"/>
              <w:right w:val="single" w:sz="6" w:space="0" w:color="auto"/>
            </w:tcBorders>
          </w:tcPr>
          <w:p w14:paraId="7E01E489"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Quarterly </w:t>
            </w:r>
          </w:p>
        </w:tc>
      </w:tr>
      <w:tr w:rsidR="00364043" w14:paraId="017F2AAC" w14:textId="77777777">
        <w:tc>
          <w:tcPr>
            <w:tcW w:w="1250" w:type="pct"/>
            <w:tcBorders>
              <w:top w:val="single" w:sz="6" w:space="0" w:color="auto"/>
              <w:left w:val="single" w:sz="6" w:space="0" w:color="auto"/>
              <w:bottom w:val="single" w:sz="6" w:space="0" w:color="auto"/>
              <w:right w:val="single" w:sz="6" w:space="0" w:color="auto"/>
            </w:tcBorders>
          </w:tcPr>
          <w:p w14:paraId="629321AF"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2025 </w:t>
            </w:r>
          </w:p>
        </w:tc>
        <w:tc>
          <w:tcPr>
            <w:tcW w:w="1250" w:type="pct"/>
            <w:tcBorders>
              <w:top w:val="single" w:sz="6" w:space="0" w:color="auto"/>
              <w:left w:val="single" w:sz="6" w:space="0" w:color="auto"/>
              <w:bottom w:val="single" w:sz="6" w:space="0" w:color="auto"/>
              <w:right w:val="single" w:sz="6" w:space="0" w:color="auto"/>
            </w:tcBorders>
          </w:tcPr>
          <w:p w14:paraId="41801B21"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 </w:t>
            </w:r>
            <w:r>
              <w:rPr>
                <w:rFonts w:ascii="Tms Rmn" w:hAnsi="Tms Rmn" w:cs="Tms Rmn"/>
                <w:color w:val="000000"/>
                <w:kern w:val="0"/>
                <w:sz w:val="24"/>
                <w:szCs w:val="24"/>
              </w:rPr>
              <w:br/>
              <w:t xml:space="preserve">Water Services Transformation – Pension </w:t>
            </w:r>
            <w:proofErr w:type="gramStart"/>
            <w:r>
              <w:rPr>
                <w:rFonts w:ascii="Tms Rmn" w:hAnsi="Tms Rmn" w:cs="Tms Rmn"/>
                <w:color w:val="000000"/>
                <w:kern w:val="0"/>
                <w:sz w:val="24"/>
                <w:szCs w:val="24"/>
              </w:rPr>
              <w:t>Sub Group</w:t>
            </w:r>
            <w:proofErr w:type="gramEnd"/>
            <w:r>
              <w:rPr>
                <w:rFonts w:ascii="Tms Rmn" w:hAnsi="Tms Rmn" w:cs="Tms Rmn"/>
                <w:color w:val="000000"/>
                <w:kern w:val="0"/>
                <w:sz w:val="24"/>
                <w:szCs w:val="24"/>
              </w:rPr>
              <w:t xml:space="preserve"> </w:t>
            </w:r>
          </w:p>
        </w:tc>
        <w:tc>
          <w:tcPr>
            <w:tcW w:w="1250" w:type="pct"/>
            <w:tcBorders>
              <w:top w:val="single" w:sz="6" w:space="0" w:color="auto"/>
              <w:left w:val="single" w:sz="6" w:space="0" w:color="auto"/>
              <w:bottom w:val="single" w:sz="6" w:space="0" w:color="auto"/>
              <w:right w:val="single" w:sz="6" w:space="0" w:color="auto"/>
            </w:tcBorders>
          </w:tcPr>
          <w:p w14:paraId="6A9D91AF"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Representatives from local authorities, the Water Services Transition Office and my Department meet to discuss Central Management Charge (CMC) pension stranded costs as they relate to the water sector transformation programme </w:t>
            </w:r>
          </w:p>
        </w:tc>
        <w:tc>
          <w:tcPr>
            <w:tcW w:w="1250" w:type="pct"/>
            <w:tcBorders>
              <w:top w:val="single" w:sz="6" w:space="0" w:color="auto"/>
              <w:left w:val="single" w:sz="6" w:space="0" w:color="auto"/>
              <w:bottom w:val="single" w:sz="6" w:space="0" w:color="auto"/>
              <w:right w:val="single" w:sz="6" w:space="0" w:color="auto"/>
            </w:tcBorders>
          </w:tcPr>
          <w:p w14:paraId="39EAD877"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 </w:t>
            </w:r>
            <w:r>
              <w:rPr>
                <w:rFonts w:ascii="Tms Rmn" w:hAnsi="Tms Rmn" w:cs="Tms Rmn"/>
                <w:color w:val="000000"/>
                <w:kern w:val="0"/>
                <w:sz w:val="24"/>
                <w:szCs w:val="24"/>
              </w:rPr>
              <w:br/>
              <w:t xml:space="preserve">Monthly </w:t>
            </w:r>
          </w:p>
        </w:tc>
      </w:tr>
      <w:tr w:rsidR="00364043" w14:paraId="6C8129C9" w14:textId="77777777">
        <w:tc>
          <w:tcPr>
            <w:tcW w:w="1250" w:type="pct"/>
            <w:tcBorders>
              <w:top w:val="single" w:sz="6" w:space="0" w:color="auto"/>
              <w:left w:val="single" w:sz="6" w:space="0" w:color="auto"/>
              <w:bottom w:val="single" w:sz="6" w:space="0" w:color="auto"/>
              <w:right w:val="single" w:sz="6" w:space="0" w:color="auto"/>
            </w:tcBorders>
          </w:tcPr>
          <w:p w14:paraId="0694A902"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2024 </w:t>
            </w:r>
          </w:p>
        </w:tc>
        <w:tc>
          <w:tcPr>
            <w:tcW w:w="1250" w:type="pct"/>
            <w:tcBorders>
              <w:top w:val="single" w:sz="6" w:space="0" w:color="auto"/>
              <w:left w:val="single" w:sz="6" w:space="0" w:color="auto"/>
              <w:bottom w:val="single" w:sz="6" w:space="0" w:color="auto"/>
              <w:right w:val="single" w:sz="6" w:space="0" w:color="auto"/>
            </w:tcBorders>
          </w:tcPr>
          <w:p w14:paraId="10245EC3"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Building Control Management System (BCMS) Enhancements Working Group </w:t>
            </w:r>
          </w:p>
        </w:tc>
        <w:tc>
          <w:tcPr>
            <w:tcW w:w="1250" w:type="pct"/>
            <w:tcBorders>
              <w:top w:val="single" w:sz="6" w:space="0" w:color="auto"/>
              <w:left w:val="single" w:sz="6" w:space="0" w:color="auto"/>
              <w:bottom w:val="single" w:sz="6" w:space="0" w:color="auto"/>
              <w:right w:val="single" w:sz="6" w:space="0" w:color="auto"/>
            </w:tcBorders>
          </w:tcPr>
          <w:p w14:paraId="5E54242E"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A multi-agency workgroup focusing on identifying, prioritising and progressing data enhancements to the Building Control Management System</w:t>
            </w:r>
          </w:p>
        </w:tc>
        <w:tc>
          <w:tcPr>
            <w:tcW w:w="1250" w:type="pct"/>
            <w:tcBorders>
              <w:top w:val="single" w:sz="6" w:space="0" w:color="auto"/>
              <w:left w:val="single" w:sz="6" w:space="0" w:color="auto"/>
              <w:bottom w:val="single" w:sz="6" w:space="0" w:color="auto"/>
              <w:right w:val="single" w:sz="6" w:space="0" w:color="auto"/>
            </w:tcBorders>
          </w:tcPr>
          <w:p w14:paraId="5CFCE244"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 </w:t>
            </w:r>
            <w:r>
              <w:rPr>
                <w:rFonts w:ascii="Tms Rmn" w:hAnsi="Tms Rmn" w:cs="Tms Rmn"/>
                <w:color w:val="000000"/>
                <w:kern w:val="0"/>
                <w:sz w:val="24"/>
                <w:szCs w:val="24"/>
              </w:rPr>
              <w:br/>
              <w:t xml:space="preserve">Weekly </w:t>
            </w:r>
          </w:p>
        </w:tc>
      </w:tr>
      <w:tr w:rsidR="00364043" w14:paraId="1531349B" w14:textId="77777777">
        <w:tc>
          <w:tcPr>
            <w:tcW w:w="1250" w:type="pct"/>
            <w:tcBorders>
              <w:top w:val="single" w:sz="6" w:space="0" w:color="auto"/>
              <w:left w:val="single" w:sz="6" w:space="0" w:color="auto"/>
              <w:bottom w:val="single" w:sz="6" w:space="0" w:color="auto"/>
              <w:right w:val="single" w:sz="6" w:space="0" w:color="auto"/>
            </w:tcBorders>
          </w:tcPr>
          <w:p w14:paraId="322CF11E"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2024 </w:t>
            </w:r>
          </w:p>
        </w:tc>
        <w:tc>
          <w:tcPr>
            <w:tcW w:w="1250" w:type="pct"/>
            <w:tcBorders>
              <w:top w:val="single" w:sz="6" w:space="0" w:color="auto"/>
              <w:left w:val="single" w:sz="6" w:space="0" w:color="auto"/>
              <w:bottom w:val="single" w:sz="6" w:space="0" w:color="auto"/>
              <w:right w:val="single" w:sz="6" w:space="0" w:color="auto"/>
            </w:tcBorders>
          </w:tcPr>
          <w:p w14:paraId="012AD15C"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Narrow Water Bridge Oversight Board </w:t>
            </w:r>
          </w:p>
        </w:tc>
        <w:tc>
          <w:tcPr>
            <w:tcW w:w="1250" w:type="pct"/>
            <w:tcBorders>
              <w:top w:val="single" w:sz="6" w:space="0" w:color="auto"/>
              <w:left w:val="single" w:sz="6" w:space="0" w:color="auto"/>
              <w:bottom w:val="single" w:sz="6" w:space="0" w:color="auto"/>
              <w:right w:val="single" w:sz="6" w:space="0" w:color="auto"/>
            </w:tcBorders>
          </w:tcPr>
          <w:p w14:paraId="62AE7882"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A group to oversee and monitor the Shared Island-funded and Louth County Council-</w:t>
            </w:r>
            <w:proofErr w:type="gramStart"/>
            <w:r>
              <w:rPr>
                <w:rFonts w:ascii="Tms Rmn" w:hAnsi="Tms Rmn" w:cs="Tms Rmn"/>
                <w:color w:val="000000"/>
                <w:kern w:val="0"/>
                <w:sz w:val="24"/>
                <w:szCs w:val="24"/>
              </w:rPr>
              <w:t>led  Narrow</w:t>
            </w:r>
            <w:proofErr w:type="gramEnd"/>
            <w:r>
              <w:rPr>
                <w:rFonts w:ascii="Tms Rmn" w:hAnsi="Tms Rmn" w:cs="Tms Rmn"/>
                <w:color w:val="000000"/>
                <w:kern w:val="0"/>
                <w:sz w:val="24"/>
                <w:szCs w:val="24"/>
              </w:rPr>
              <w:t xml:space="preserve"> Water Bridge construction project </w:t>
            </w:r>
          </w:p>
        </w:tc>
        <w:tc>
          <w:tcPr>
            <w:tcW w:w="1250" w:type="pct"/>
            <w:tcBorders>
              <w:top w:val="single" w:sz="6" w:space="0" w:color="auto"/>
              <w:left w:val="single" w:sz="6" w:space="0" w:color="auto"/>
              <w:bottom w:val="single" w:sz="6" w:space="0" w:color="auto"/>
              <w:right w:val="single" w:sz="6" w:space="0" w:color="auto"/>
            </w:tcBorders>
          </w:tcPr>
          <w:p w14:paraId="5A51F502"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Three Meetings Per Annum</w:t>
            </w:r>
          </w:p>
        </w:tc>
      </w:tr>
      <w:tr w:rsidR="00364043" w14:paraId="7FFB8BF6" w14:textId="77777777">
        <w:tc>
          <w:tcPr>
            <w:tcW w:w="1250" w:type="pct"/>
            <w:tcBorders>
              <w:top w:val="single" w:sz="6" w:space="0" w:color="auto"/>
              <w:left w:val="single" w:sz="6" w:space="0" w:color="auto"/>
              <w:bottom w:val="single" w:sz="6" w:space="0" w:color="auto"/>
              <w:right w:val="single" w:sz="6" w:space="0" w:color="auto"/>
            </w:tcBorders>
          </w:tcPr>
          <w:p w14:paraId="1BBBE0D9"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2024</w:t>
            </w:r>
          </w:p>
        </w:tc>
        <w:tc>
          <w:tcPr>
            <w:tcW w:w="1250" w:type="pct"/>
            <w:tcBorders>
              <w:top w:val="single" w:sz="6" w:space="0" w:color="auto"/>
              <w:left w:val="single" w:sz="6" w:space="0" w:color="auto"/>
              <w:bottom w:val="single" w:sz="6" w:space="0" w:color="auto"/>
              <w:right w:val="single" w:sz="6" w:space="0" w:color="auto"/>
            </w:tcBorders>
          </w:tcPr>
          <w:p w14:paraId="11ADA3B3"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proofErr w:type="spellStart"/>
            <w:r>
              <w:rPr>
                <w:rFonts w:ascii="Tms Rmn" w:hAnsi="Tms Rmn" w:cs="Tms Rmn"/>
                <w:color w:val="000000"/>
                <w:kern w:val="0"/>
                <w:sz w:val="24"/>
                <w:szCs w:val="24"/>
              </w:rPr>
              <w:t>Tóchar</w:t>
            </w:r>
            <w:proofErr w:type="spellEnd"/>
            <w:r>
              <w:rPr>
                <w:rFonts w:ascii="Tms Rmn" w:hAnsi="Tms Rmn" w:cs="Tms Rmn"/>
                <w:color w:val="000000"/>
                <w:kern w:val="0"/>
                <w:sz w:val="24"/>
                <w:szCs w:val="24"/>
              </w:rPr>
              <w:t xml:space="preserve"> Midlands Wetland Restoration </w:t>
            </w:r>
          </w:p>
        </w:tc>
        <w:tc>
          <w:tcPr>
            <w:tcW w:w="1250" w:type="pct"/>
            <w:tcBorders>
              <w:top w:val="single" w:sz="6" w:space="0" w:color="auto"/>
              <w:left w:val="single" w:sz="6" w:space="0" w:color="auto"/>
              <w:bottom w:val="single" w:sz="6" w:space="0" w:color="auto"/>
              <w:right w:val="single" w:sz="6" w:space="0" w:color="auto"/>
            </w:tcBorders>
          </w:tcPr>
          <w:p w14:paraId="4D6DCCB7"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Project oversight for the </w:t>
            </w:r>
            <w:proofErr w:type="spellStart"/>
            <w:r>
              <w:rPr>
                <w:rFonts w:ascii="Tms Rmn" w:hAnsi="Tms Rmn" w:cs="Tms Rmn"/>
                <w:color w:val="000000"/>
                <w:kern w:val="0"/>
                <w:sz w:val="24"/>
                <w:szCs w:val="24"/>
              </w:rPr>
              <w:t>Tóchar</w:t>
            </w:r>
            <w:proofErr w:type="spellEnd"/>
            <w:r>
              <w:rPr>
                <w:rFonts w:ascii="Tms Rmn" w:hAnsi="Tms Rmn" w:cs="Tms Rmn"/>
                <w:color w:val="000000"/>
                <w:kern w:val="0"/>
                <w:sz w:val="24"/>
                <w:szCs w:val="24"/>
              </w:rPr>
              <w:t xml:space="preserve"> Midlands Wetland Restoration project </w:t>
            </w:r>
          </w:p>
        </w:tc>
        <w:tc>
          <w:tcPr>
            <w:tcW w:w="1250" w:type="pct"/>
            <w:tcBorders>
              <w:top w:val="single" w:sz="6" w:space="0" w:color="auto"/>
              <w:left w:val="single" w:sz="6" w:space="0" w:color="auto"/>
              <w:bottom w:val="single" w:sz="6" w:space="0" w:color="auto"/>
              <w:right w:val="single" w:sz="6" w:space="0" w:color="auto"/>
            </w:tcBorders>
          </w:tcPr>
          <w:p w14:paraId="08535549"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Monthly </w:t>
            </w:r>
          </w:p>
        </w:tc>
      </w:tr>
      <w:tr w:rsidR="00364043" w14:paraId="71EC6178" w14:textId="77777777">
        <w:tc>
          <w:tcPr>
            <w:tcW w:w="1250" w:type="pct"/>
            <w:tcBorders>
              <w:top w:val="single" w:sz="6" w:space="0" w:color="auto"/>
              <w:left w:val="single" w:sz="6" w:space="0" w:color="auto"/>
              <w:bottom w:val="single" w:sz="6" w:space="0" w:color="auto"/>
              <w:right w:val="single" w:sz="6" w:space="0" w:color="auto"/>
            </w:tcBorders>
          </w:tcPr>
          <w:p w14:paraId="70355047"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lastRenderedPageBreak/>
              <w:t xml:space="preserve">2024 </w:t>
            </w:r>
          </w:p>
        </w:tc>
        <w:tc>
          <w:tcPr>
            <w:tcW w:w="1250" w:type="pct"/>
            <w:tcBorders>
              <w:top w:val="single" w:sz="6" w:space="0" w:color="auto"/>
              <w:left w:val="single" w:sz="6" w:space="0" w:color="auto"/>
              <w:bottom w:val="single" w:sz="6" w:space="0" w:color="auto"/>
              <w:right w:val="single" w:sz="6" w:space="0" w:color="auto"/>
            </w:tcBorders>
          </w:tcPr>
          <w:p w14:paraId="4855B3FF"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Interdepartmental Biodiversity Working Group</w:t>
            </w:r>
          </w:p>
        </w:tc>
        <w:tc>
          <w:tcPr>
            <w:tcW w:w="1250" w:type="pct"/>
            <w:tcBorders>
              <w:top w:val="single" w:sz="6" w:space="0" w:color="auto"/>
              <w:left w:val="single" w:sz="6" w:space="0" w:color="auto"/>
              <w:bottom w:val="single" w:sz="6" w:space="0" w:color="auto"/>
              <w:right w:val="single" w:sz="6" w:space="0" w:color="auto"/>
            </w:tcBorders>
          </w:tcPr>
          <w:p w14:paraId="1AE70F63"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A working group to provide the mechanism for a whole-of-government approach to monitoring and reporting progress in the implementation of the 4th National Biodiversity Action Plan</w:t>
            </w:r>
          </w:p>
        </w:tc>
        <w:tc>
          <w:tcPr>
            <w:tcW w:w="1250" w:type="pct"/>
            <w:tcBorders>
              <w:top w:val="single" w:sz="6" w:space="0" w:color="auto"/>
              <w:left w:val="single" w:sz="6" w:space="0" w:color="auto"/>
              <w:bottom w:val="single" w:sz="6" w:space="0" w:color="auto"/>
              <w:right w:val="single" w:sz="6" w:space="0" w:color="auto"/>
            </w:tcBorders>
          </w:tcPr>
          <w:p w14:paraId="2D4602F6"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Biannually </w:t>
            </w:r>
          </w:p>
        </w:tc>
      </w:tr>
      <w:tr w:rsidR="00364043" w14:paraId="7B86CCB7" w14:textId="77777777">
        <w:tc>
          <w:tcPr>
            <w:tcW w:w="1250" w:type="pct"/>
            <w:tcBorders>
              <w:top w:val="single" w:sz="6" w:space="0" w:color="auto"/>
              <w:left w:val="single" w:sz="6" w:space="0" w:color="auto"/>
              <w:bottom w:val="single" w:sz="6" w:space="0" w:color="auto"/>
              <w:right w:val="single" w:sz="6" w:space="0" w:color="auto"/>
            </w:tcBorders>
          </w:tcPr>
          <w:p w14:paraId="14642B16"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2024 </w:t>
            </w:r>
          </w:p>
        </w:tc>
        <w:tc>
          <w:tcPr>
            <w:tcW w:w="1250" w:type="pct"/>
            <w:tcBorders>
              <w:top w:val="single" w:sz="6" w:space="0" w:color="auto"/>
              <w:left w:val="single" w:sz="6" w:space="0" w:color="auto"/>
              <w:bottom w:val="single" w:sz="6" w:space="0" w:color="auto"/>
              <w:right w:val="single" w:sz="6" w:space="0" w:color="auto"/>
            </w:tcBorders>
          </w:tcPr>
          <w:p w14:paraId="61D5B372"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Working Group to Consider Local Authority Cost Rental and Borrowing </w:t>
            </w:r>
          </w:p>
        </w:tc>
        <w:tc>
          <w:tcPr>
            <w:tcW w:w="1250" w:type="pct"/>
            <w:tcBorders>
              <w:top w:val="single" w:sz="6" w:space="0" w:color="auto"/>
              <w:left w:val="single" w:sz="6" w:space="0" w:color="auto"/>
              <w:bottom w:val="single" w:sz="6" w:space="0" w:color="auto"/>
              <w:right w:val="single" w:sz="6" w:space="0" w:color="auto"/>
            </w:tcBorders>
          </w:tcPr>
          <w:p w14:paraId="5E520F0E"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A group to examine risks to local authorities in undertaking cost rental and local authority borrowing</w:t>
            </w:r>
          </w:p>
        </w:tc>
        <w:tc>
          <w:tcPr>
            <w:tcW w:w="1250" w:type="pct"/>
            <w:tcBorders>
              <w:top w:val="single" w:sz="6" w:space="0" w:color="auto"/>
              <w:left w:val="single" w:sz="6" w:space="0" w:color="auto"/>
              <w:bottom w:val="single" w:sz="6" w:space="0" w:color="auto"/>
              <w:right w:val="single" w:sz="6" w:space="0" w:color="auto"/>
            </w:tcBorders>
          </w:tcPr>
          <w:p w14:paraId="0D18627B"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As Required </w:t>
            </w:r>
          </w:p>
        </w:tc>
      </w:tr>
      <w:tr w:rsidR="00364043" w14:paraId="69FEBF60" w14:textId="77777777">
        <w:tc>
          <w:tcPr>
            <w:tcW w:w="1250" w:type="pct"/>
            <w:tcBorders>
              <w:top w:val="single" w:sz="6" w:space="0" w:color="auto"/>
              <w:left w:val="single" w:sz="6" w:space="0" w:color="auto"/>
              <w:bottom w:val="single" w:sz="6" w:space="0" w:color="auto"/>
              <w:right w:val="single" w:sz="6" w:space="0" w:color="auto"/>
            </w:tcBorders>
          </w:tcPr>
          <w:p w14:paraId="7D6885FB"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2024 </w:t>
            </w:r>
          </w:p>
        </w:tc>
        <w:tc>
          <w:tcPr>
            <w:tcW w:w="1250" w:type="pct"/>
            <w:tcBorders>
              <w:top w:val="single" w:sz="6" w:space="0" w:color="auto"/>
              <w:left w:val="single" w:sz="6" w:space="0" w:color="auto"/>
              <w:bottom w:val="single" w:sz="6" w:space="0" w:color="auto"/>
              <w:right w:val="single" w:sz="6" w:space="0" w:color="auto"/>
            </w:tcBorders>
          </w:tcPr>
          <w:p w14:paraId="2DE8F7FA"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Affordable Housing Communications Working Group </w:t>
            </w:r>
          </w:p>
        </w:tc>
        <w:tc>
          <w:tcPr>
            <w:tcW w:w="1250" w:type="pct"/>
            <w:tcBorders>
              <w:top w:val="single" w:sz="6" w:space="0" w:color="auto"/>
              <w:left w:val="single" w:sz="6" w:space="0" w:color="auto"/>
              <w:bottom w:val="single" w:sz="6" w:space="0" w:color="auto"/>
              <w:right w:val="single" w:sz="6" w:space="0" w:color="auto"/>
            </w:tcBorders>
          </w:tcPr>
          <w:p w14:paraId="5D7E0D28"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A group to coordinate issues around the communication of affordable housing schemes and knowledge between participants</w:t>
            </w:r>
          </w:p>
        </w:tc>
        <w:tc>
          <w:tcPr>
            <w:tcW w:w="1250" w:type="pct"/>
            <w:tcBorders>
              <w:top w:val="single" w:sz="6" w:space="0" w:color="auto"/>
              <w:left w:val="single" w:sz="6" w:space="0" w:color="auto"/>
              <w:bottom w:val="single" w:sz="6" w:space="0" w:color="auto"/>
              <w:right w:val="single" w:sz="6" w:space="0" w:color="auto"/>
            </w:tcBorders>
          </w:tcPr>
          <w:p w14:paraId="47CBA17B"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Bi-monthly </w:t>
            </w:r>
          </w:p>
        </w:tc>
      </w:tr>
      <w:tr w:rsidR="00364043" w14:paraId="1BE035C6" w14:textId="77777777">
        <w:tc>
          <w:tcPr>
            <w:tcW w:w="1250" w:type="pct"/>
            <w:tcBorders>
              <w:top w:val="single" w:sz="6" w:space="0" w:color="auto"/>
              <w:left w:val="single" w:sz="6" w:space="0" w:color="auto"/>
              <w:bottom w:val="single" w:sz="6" w:space="0" w:color="auto"/>
              <w:right w:val="single" w:sz="6" w:space="0" w:color="auto"/>
            </w:tcBorders>
          </w:tcPr>
          <w:p w14:paraId="6D00C1F4"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2024 </w:t>
            </w:r>
          </w:p>
        </w:tc>
        <w:tc>
          <w:tcPr>
            <w:tcW w:w="1250" w:type="pct"/>
            <w:tcBorders>
              <w:top w:val="single" w:sz="6" w:space="0" w:color="auto"/>
              <w:left w:val="single" w:sz="6" w:space="0" w:color="auto"/>
              <w:bottom w:val="single" w:sz="6" w:space="0" w:color="auto"/>
              <w:right w:val="single" w:sz="6" w:space="0" w:color="auto"/>
            </w:tcBorders>
          </w:tcPr>
          <w:p w14:paraId="511DA60D"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Defective Concrete Blocks Enhanced Scheme Implementation Steering Group </w:t>
            </w:r>
          </w:p>
        </w:tc>
        <w:tc>
          <w:tcPr>
            <w:tcW w:w="1250" w:type="pct"/>
            <w:tcBorders>
              <w:top w:val="single" w:sz="6" w:space="0" w:color="auto"/>
              <w:left w:val="single" w:sz="6" w:space="0" w:color="auto"/>
              <w:bottom w:val="single" w:sz="6" w:space="0" w:color="auto"/>
              <w:right w:val="single" w:sz="6" w:space="0" w:color="auto"/>
            </w:tcBorders>
          </w:tcPr>
          <w:p w14:paraId="797816AA"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A group to keep the regulations, guidelines and operation of the scheme under review</w:t>
            </w:r>
          </w:p>
        </w:tc>
        <w:tc>
          <w:tcPr>
            <w:tcW w:w="1250" w:type="pct"/>
            <w:tcBorders>
              <w:top w:val="single" w:sz="6" w:space="0" w:color="auto"/>
              <w:left w:val="single" w:sz="6" w:space="0" w:color="auto"/>
              <w:bottom w:val="single" w:sz="6" w:space="0" w:color="auto"/>
              <w:right w:val="single" w:sz="6" w:space="0" w:color="auto"/>
            </w:tcBorders>
          </w:tcPr>
          <w:p w14:paraId="0F0A5EB6"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Every Six Weeks </w:t>
            </w:r>
          </w:p>
        </w:tc>
      </w:tr>
      <w:tr w:rsidR="00364043" w14:paraId="0A9A311C" w14:textId="77777777">
        <w:tc>
          <w:tcPr>
            <w:tcW w:w="1250" w:type="pct"/>
            <w:tcBorders>
              <w:top w:val="single" w:sz="6" w:space="0" w:color="auto"/>
              <w:left w:val="single" w:sz="6" w:space="0" w:color="auto"/>
              <w:bottom w:val="single" w:sz="6" w:space="0" w:color="auto"/>
              <w:right w:val="single" w:sz="6" w:space="0" w:color="auto"/>
            </w:tcBorders>
          </w:tcPr>
          <w:p w14:paraId="037BB59D"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2024 </w:t>
            </w:r>
          </w:p>
        </w:tc>
        <w:tc>
          <w:tcPr>
            <w:tcW w:w="1250" w:type="pct"/>
            <w:tcBorders>
              <w:top w:val="single" w:sz="6" w:space="0" w:color="auto"/>
              <w:left w:val="single" w:sz="6" w:space="0" w:color="auto"/>
              <w:bottom w:val="single" w:sz="6" w:space="0" w:color="auto"/>
              <w:right w:val="single" w:sz="6" w:space="0" w:color="auto"/>
            </w:tcBorders>
          </w:tcPr>
          <w:p w14:paraId="3BF302DB"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Working Group for the Periodic Critical Review of the Residential Tenancies Board </w:t>
            </w:r>
          </w:p>
        </w:tc>
        <w:tc>
          <w:tcPr>
            <w:tcW w:w="1250" w:type="pct"/>
            <w:tcBorders>
              <w:top w:val="single" w:sz="6" w:space="0" w:color="auto"/>
              <w:left w:val="single" w:sz="6" w:space="0" w:color="auto"/>
              <w:bottom w:val="single" w:sz="6" w:space="0" w:color="auto"/>
              <w:right w:val="single" w:sz="6" w:space="0" w:color="auto"/>
            </w:tcBorders>
          </w:tcPr>
          <w:p w14:paraId="74C15596"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A group for the oversight of the periodic critical review process and preparation of the report resulting from the review </w:t>
            </w:r>
          </w:p>
        </w:tc>
        <w:tc>
          <w:tcPr>
            <w:tcW w:w="1250" w:type="pct"/>
            <w:tcBorders>
              <w:top w:val="single" w:sz="6" w:space="0" w:color="auto"/>
              <w:left w:val="single" w:sz="6" w:space="0" w:color="auto"/>
              <w:bottom w:val="single" w:sz="6" w:space="0" w:color="auto"/>
              <w:right w:val="single" w:sz="6" w:space="0" w:color="auto"/>
            </w:tcBorders>
          </w:tcPr>
          <w:p w14:paraId="37FD4704"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As Required </w:t>
            </w:r>
          </w:p>
        </w:tc>
      </w:tr>
      <w:tr w:rsidR="00364043" w14:paraId="0F92B4E8" w14:textId="77777777">
        <w:tc>
          <w:tcPr>
            <w:tcW w:w="1250" w:type="pct"/>
            <w:tcBorders>
              <w:top w:val="single" w:sz="6" w:space="0" w:color="auto"/>
              <w:left w:val="single" w:sz="6" w:space="0" w:color="auto"/>
              <w:bottom w:val="single" w:sz="6" w:space="0" w:color="auto"/>
              <w:right w:val="single" w:sz="6" w:space="0" w:color="auto"/>
            </w:tcBorders>
          </w:tcPr>
          <w:p w14:paraId="585AABAE"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2024 </w:t>
            </w:r>
          </w:p>
        </w:tc>
        <w:tc>
          <w:tcPr>
            <w:tcW w:w="1250" w:type="pct"/>
            <w:tcBorders>
              <w:top w:val="single" w:sz="6" w:space="0" w:color="auto"/>
              <w:left w:val="single" w:sz="6" w:space="0" w:color="auto"/>
              <w:bottom w:val="single" w:sz="6" w:space="0" w:color="auto"/>
              <w:right w:val="single" w:sz="6" w:space="0" w:color="auto"/>
            </w:tcBorders>
          </w:tcPr>
          <w:p w14:paraId="29790801"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Working Group for the Periodic Critical Review of the Office of the Planning Regulator </w:t>
            </w:r>
          </w:p>
        </w:tc>
        <w:tc>
          <w:tcPr>
            <w:tcW w:w="1250" w:type="pct"/>
            <w:tcBorders>
              <w:top w:val="single" w:sz="6" w:space="0" w:color="auto"/>
              <w:left w:val="single" w:sz="6" w:space="0" w:color="auto"/>
              <w:bottom w:val="single" w:sz="6" w:space="0" w:color="auto"/>
              <w:right w:val="single" w:sz="6" w:space="0" w:color="auto"/>
            </w:tcBorders>
          </w:tcPr>
          <w:p w14:paraId="2334E761"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A group for the oversight of the periodic critical review process and preparation of the report resulting from the review </w:t>
            </w:r>
          </w:p>
        </w:tc>
        <w:tc>
          <w:tcPr>
            <w:tcW w:w="1250" w:type="pct"/>
            <w:tcBorders>
              <w:top w:val="single" w:sz="6" w:space="0" w:color="auto"/>
              <w:left w:val="single" w:sz="6" w:space="0" w:color="auto"/>
              <w:bottom w:val="single" w:sz="6" w:space="0" w:color="auto"/>
              <w:right w:val="single" w:sz="6" w:space="0" w:color="auto"/>
            </w:tcBorders>
          </w:tcPr>
          <w:p w14:paraId="3F9D45FC"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As Required </w:t>
            </w:r>
          </w:p>
        </w:tc>
      </w:tr>
      <w:tr w:rsidR="00364043" w14:paraId="4542D784" w14:textId="77777777">
        <w:tc>
          <w:tcPr>
            <w:tcW w:w="1250" w:type="pct"/>
            <w:tcBorders>
              <w:top w:val="single" w:sz="6" w:space="0" w:color="auto"/>
              <w:left w:val="single" w:sz="6" w:space="0" w:color="auto"/>
              <w:bottom w:val="single" w:sz="6" w:space="0" w:color="auto"/>
              <w:right w:val="single" w:sz="6" w:space="0" w:color="auto"/>
            </w:tcBorders>
          </w:tcPr>
          <w:p w14:paraId="0A32F264"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2024 </w:t>
            </w:r>
          </w:p>
        </w:tc>
        <w:tc>
          <w:tcPr>
            <w:tcW w:w="1250" w:type="pct"/>
            <w:tcBorders>
              <w:top w:val="single" w:sz="6" w:space="0" w:color="auto"/>
              <w:left w:val="single" w:sz="6" w:space="0" w:color="auto"/>
              <w:bottom w:val="single" w:sz="6" w:space="0" w:color="auto"/>
              <w:right w:val="single" w:sz="6" w:space="0" w:color="auto"/>
            </w:tcBorders>
          </w:tcPr>
          <w:p w14:paraId="5F898C17"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Climate and Flood Risk Planning Working Group </w:t>
            </w:r>
          </w:p>
        </w:tc>
        <w:tc>
          <w:tcPr>
            <w:tcW w:w="1250" w:type="pct"/>
            <w:tcBorders>
              <w:top w:val="single" w:sz="6" w:space="0" w:color="auto"/>
              <w:left w:val="single" w:sz="6" w:space="0" w:color="auto"/>
              <w:bottom w:val="single" w:sz="6" w:space="0" w:color="auto"/>
              <w:right w:val="single" w:sz="6" w:space="0" w:color="auto"/>
            </w:tcBorders>
          </w:tcPr>
          <w:p w14:paraId="3AD03D2D"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A group to supplement the s.28 Planning System and Flood Risk Management Guidelines</w:t>
            </w:r>
          </w:p>
        </w:tc>
        <w:tc>
          <w:tcPr>
            <w:tcW w:w="1250" w:type="pct"/>
            <w:tcBorders>
              <w:top w:val="single" w:sz="6" w:space="0" w:color="auto"/>
              <w:left w:val="single" w:sz="6" w:space="0" w:color="auto"/>
              <w:bottom w:val="single" w:sz="6" w:space="0" w:color="auto"/>
              <w:right w:val="single" w:sz="6" w:space="0" w:color="auto"/>
            </w:tcBorders>
          </w:tcPr>
          <w:p w14:paraId="61C7B39F"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As Required </w:t>
            </w:r>
          </w:p>
        </w:tc>
      </w:tr>
      <w:tr w:rsidR="00364043" w14:paraId="1D95C9B8" w14:textId="77777777">
        <w:tc>
          <w:tcPr>
            <w:tcW w:w="1250" w:type="pct"/>
            <w:tcBorders>
              <w:top w:val="single" w:sz="6" w:space="0" w:color="auto"/>
              <w:left w:val="single" w:sz="6" w:space="0" w:color="auto"/>
              <w:bottom w:val="single" w:sz="6" w:space="0" w:color="auto"/>
              <w:right w:val="single" w:sz="6" w:space="0" w:color="auto"/>
            </w:tcBorders>
          </w:tcPr>
          <w:p w14:paraId="3052CD5A"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lastRenderedPageBreak/>
              <w:t xml:space="preserve">2024 </w:t>
            </w:r>
          </w:p>
        </w:tc>
        <w:tc>
          <w:tcPr>
            <w:tcW w:w="1250" w:type="pct"/>
            <w:tcBorders>
              <w:top w:val="single" w:sz="6" w:space="0" w:color="auto"/>
              <w:left w:val="single" w:sz="6" w:space="0" w:color="auto"/>
              <w:bottom w:val="single" w:sz="6" w:space="0" w:color="auto"/>
              <w:right w:val="single" w:sz="6" w:space="0" w:color="auto"/>
            </w:tcBorders>
          </w:tcPr>
          <w:p w14:paraId="739CCCD6"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Planning and Development Act 2024 Oversight Group</w:t>
            </w:r>
          </w:p>
        </w:tc>
        <w:tc>
          <w:tcPr>
            <w:tcW w:w="1250" w:type="pct"/>
            <w:tcBorders>
              <w:top w:val="single" w:sz="6" w:space="0" w:color="auto"/>
              <w:left w:val="single" w:sz="6" w:space="0" w:color="auto"/>
              <w:bottom w:val="single" w:sz="6" w:space="0" w:color="auto"/>
              <w:right w:val="single" w:sz="6" w:space="0" w:color="auto"/>
            </w:tcBorders>
          </w:tcPr>
          <w:p w14:paraId="616B1118"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A group is to oversee the implementation of the Planning and Development Act 2024 </w:t>
            </w:r>
          </w:p>
        </w:tc>
        <w:tc>
          <w:tcPr>
            <w:tcW w:w="1250" w:type="pct"/>
            <w:tcBorders>
              <w:top w:val="single" w:sz="6" w:space="0" w:color="auto"/>
              <w:left w:val="single" w:sz="6" w:space="0" w:color="auto"/>
              <w:bottom w:val="single" w:sz="6" w:space="0" w:color="auto"/>
              <w:right w:val="single" w:sz="6" w:space="0" w:color="auto"/>
            </w:tcBorders>
          </w:tcPr>
          <w:p w14:paraId="637BC086"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As Required</w:t>
            </w:r>
          </w:p>
        </w:tc>
      </w:tr>
      <w:tr w:rsidR="00364043" w14:paraId="397F112C" w14:textId="77777777">
        <w:tc>
          <w:tcPr>
            <w:tcW w:w="1250" w:type="pct"/>
            <w:tcBorders>
              <w:top w:val="single" w:sz="6" w:space="0" w:color="auto"/>
              <w:left w:val="single" w:sz="6" w:space="0" w:color="auto"/>
              <w:bottom w:val="single" w:sz="6" w:space="0" w:color="auto"/>
              <w:right w:val="single" w:sz="6" w:space="0" w:color="auto"/>
            </w:tcBorders>
          </w:tcPr>
          <w:p w14:paraId="1668670C"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2024 </w:t>
            </w:r>
          </w:p>
        </w:tc>
        <w:tc>
          <w:tcPr>
            <w:tcW w:w="1250" w:type="pct"/>
            <w:tcBorders>
              <w:top w:val="single" w:sz="6" w:space="0" w:color="auto"/>
              <w:left w:val="single" w:sz="6" w:space="0" w:color="auto"/>
              <w:bottom w:val="single" w:sz="6" w:space="0" w:color="auto"/>
              <w:right w:val="single" w:sz="6" w:space="0" w:color="auto"/>
            </w:tcBorders>
          </w:tcPr>
          <w:p w14:paraId="3E45EA9C"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proofErr w:type="spellStart"/>
            <w:r>
              <w:rPr>
                <w:rFonts w:ascii="Tms Rmn" w:hAnsi="Tms Rmn" w:cs="Tms Rmn"/>
                <w:color w:val="000000"/>
                <w:kern w:val="0"/>
                <w:sz w:val="24"/>
                <w:szCs w:val="24"/>
              </w:rPr>
              <w:t>Hydromorphology</w:t>
            </w:r>
            <w:proofErr w:type="spellEnd"/>
            <w:r>
              <w:rPr>
                <w:rFonts w:ascii="Tms Rmn" w:hAnsi="Tms Rmn" w:cs="Tms Rmn"/>
                <w:color w:val="000000"/>
                <w:kern w:val="0"/>
                <w:sz w:val="24"/>
                <w:szCs w:val="24"/>
              </w:rPr>
              <w:t xml:space="preserve"> Expert Group </w:t>
            </w:r>
          </w:p>
        </w:tc>
        <w:tc>
          <w:tcPr>
            <w:tcW w:w="1250" w:type="pct"/>
            <w:tcBorders>
              <w:top w:val="single" w:sz="6" w:space="0" w:color="auto"/>
              <w:left w:val="single" w:sz="6" w:space="0" w:color="auto"/>
              <w:bottom w:val="single" w:sz="6" w:space="0" w:color="auto"/>
              <w:right w:val="single" w:sz="6" w:space="0" w:color="auto"/>
            </w:tcBorders>
          </w:tcPr>
          <w:p w14:paraId="1B4645CE"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A group to facilitate the implementation of Water Framework Directive (WFD) objectives relating to the control of </w:t>
            </w:r>
            <w:proofErr w:type="spellStart"/>
            <w:r>
              <w:rPr>
                <w:rFonts w:ascii="Tms Rmn" w:hAnsi="Tms Rmn" w:cs="Tms Rmn"/>
                <w:color w:val="000000"/>
                <w:kern w:val="0"/>
                <w:sz w:val="24"/>
                <w:szCs w:val="24"/>
              </w:rPr>
              <w:t>hydromorphological</w:t>
            </w:r>
            <w:proofErr w:type="spellEnd"/>
            <w:r>
              <w:rPr>
                <w:rFonts w:ascii="Tms Rmn" w:hAnsi="Tms Rmn" w:cs="Tms Rmn"/>
                <w:color w:val="000000"/>
                <w:kern w:val="0"/>
                <w:sz w:val="24"/>
                <w:szCs w:val="24"/>
              </w:rPr>
              <w:t xml:space="preserve"> pressures [Article 11(3)(</w:t>
            </w:r>
            <w:proofErr w:type="spellStart"/>
            <w:r>
              <w:rPr>
                <w:rFonts w:ascii="Tms Rmn" w:hAnsi="Tms Rmn" w:cs="Tms Rmn"/>
                <w:color w:val="000000"/>
                <w:kern w:val="0"/>
                <w:sz w:val="24"/>
                <w:szCs w:val="24"/>
              </w:rPr>
              <w:t>i</w:t>
            </w:r>
            <w:proofErr w:type="spellEnd"/>
            <w:r>
              <w:rPr>
                <w:rFonts w:ascii="Tms Rmn" w:hAnsi="Tms Rmn" w:cs="Tms Rmn"/>
                <w:color w:val="000000"/>
                <w:kern w:val="0"/>
                <w:sz w:val="24"/>
                <w:szCs w:val="24"/>
              </w:rPr>
              <w:t>)]</w:t>
            </w:r>
          </w:p>
        </w:tc>
        <w:tc>
          <w:tcPr>
            <w:tcW w:w="1250" w:type="pct"/>
            <w:tcBorders>
              <w:top w:val="single" w:sz="6" w:space="0" w:color="auto"/>
              <w:left w:val="single" w:sz="6" w:space="0" w:color="auto"/>
              <w:bottom w:val="single" w:sz="6" w:space="0" w:color="auto"/>
              <w:right w:val="single" w:sz="6" w:space="0" w:color="auto"/>
            </w:tcBorders>
          </w:tcPr>
          <w:p w14:paraId="71F0AF39"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As Required </w:t>
            </w:r>
          </w:p>
        </w:tc>
      </w:tr>
      <w:tr w:rsidR="00364043" w14:paraId="621B0ADB" w14:textId="77777777">
        <w:tc>
          <w:tcPr>
            <w:tcW w:w="1250" w:type="pct"/>
            <w:tcBorders>
              <w:top w:val="single" w:sz="6" w:space="0" w:color="auto"/>
              <w:left w:val="single" w:sz="6" w:space="0" w:color="auto"/>
              <w:bottom w:val="single" w:sz="6" w:space="0" w:color="auto"/>
              <w:right w:val="single" w:sz="6" w:space="0" w:color="auto"/>
            </w:tcBorders>
          </w:tcPr>
          <w:p w14:paraId="5AC29B60"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2024 </w:t>
            </w:r>
          </w:p>
        </w:tc>
        <w:tc>
          <w:tcPr>
            <w:tcW w:w="1250" w:type="pct"/>
            <w:tcBorders>
              <w:top w:val="single" w:sz="6" w:space="0" w:color="auto"/>
              <w:left w:val="single" w:sz="6" w:space="0" w:color="auto"/>
              <w:bottom w:val="single" w:sz="6" w:space="0" w:color="auto"/>
              <w:right w:val="single" w:sz="6" w:space="0" w:color="auto"/>
            </w:tcBorders>
          </w:tcPr>
          <w:p w14:paraId="76CF9C45"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National Urban Wastewater Expert Group </w:t>
            </w:r>
          </w:p>
        </w:tc>
        <w:tc>
          <w:tcPr>
            <w:tcW w:w="1250" w:type="pct"/>
            <w:tcBorders>
              <w:top w:val="single" w:sz="6" w:space="0" w:color="auto"/>
              <w:left w:val="single" w:sz="6" w:space="0" w:color="auto"/>
              <w:bottom w:val="single" w:sz="6" w:space="0" w:color="auto"/>
              <w:right w:val="single" w:sz="6" w:space="0" w:color="auto"/>
            </w:tcBorders>
          </w:tcPr>
          <w:p w14:paraId="15AB0093"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A group to assist with the transposition of the recast Urban Wastewater Treatment Directive </w:t>
            </w:r>
          </w:p>
        </w:tc>
        <w:tc>
          <w:tcPr>
            <w:tcW w:w="1250" w:type="pct"/>
            <w:tcBorders>
              <w:top w:val="single" w:sz="6" w:space="0" w:color="auto"/>
              <w:left w:val="single" w:sz="6" w:space="0" w:color="auto"/>
              <w:bottom w:val="single" w:sz="6" w:space="0" w:color="auto"/>
              <w:right w:val="single" w:sz="6" w:space="0" w:color="auto"/>
            </w:tcBorders>
          </w:tcPr>
          <w:p w14:paraId="5C41C478"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As Required </w:t>
            </w:r>
          </w:p>
        </w:tc>
      </w:tr>
      <w:tr w:rsidR="00364043" w14:paraId="035A2BFE" w14:textId="77777777">
        <w:tc>
          <w:tcPr>
            <w:tcW w:w="1250" w:type="pct"/>
            <w:tcBorders>
              <w:top w:val="single" w:sz="6" w:space="0" w:color="auto"/>
              <w:left w:val="single" w:sz="6" w:space="0" w:color="auto"/>
              <w:bottom w:val="single" w:sz="6" w:space="0" w:color="auto"/>
              <w:right w:val="single" w:sz="6" w:space="0" w:color="auto"/>
            </w:tcBorders>
          </w:tcPr>
          <w:p w14:paraId="427C568A"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2024 </w:t>
            </w:r>
          </w:p>
        </w:tc>
        <w:tc>
          <w:tcPr>
            <w:tcW w:w="1250" w:type="pct"/>
            <w:tcBorders>
              <w:top w:val="single" w:sz="6" w:space="0" w:color="auto"/>
              <w:left w:val="single" w:sz="6" w:space="0" w:color="auto"/>
              <w:bottom w:val="single" w:sz="6" w:space="0" w:color="auto"/>
              <w:right w:val="single" w:sz="6" w:space="0" w:color="auto"/>
            </w:tcBorders>
          </w:tcPr>
          <w:p w14:paraId="3710C3F3"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Extended Producer Responsibility Sub-Group </w:t>
            </w:r>
          </w:p>
        </w:tc>
        <w:tc>
          <w:tcPr>
            <w:tcW w:w="1250" w:type="pct"/>
            <w:tcBorders>
              <w:top w:val="single" w:sz="6" w:space="0" w:color="auto"/>
              <w:left w:val="single" w:sz="6" w:space="0" w:color="auto"/>
              <w:bottom w:val="single" w:sz="6" w:space="0" w:color="auto"/>
              <w:right w:val="single" w:sz="6" w:space="0" w:color="auto"/>
            </w:tcBorders>
          </w:tcPr>
          <w:p w14:paraId="193A16A0"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A group to assist with the transposition of the recast Urban Wastewater Treatment Directive</w:t>
            </w:r>
          </w:p>
        </w:tc>
        <w:tc>
          <w:tcPr>
            <w:tcW w:w="1250" w:type="pct"/>
            <w:tcBorders>
              <w:top w:val="single" w:sz="6" w:space="0" w:color="auto"/>
              <w:left w:val="single" w:sz="6" w:space="0" w:color="auto"/>
              <w:bottom w:val="single" w:sz="6" w:space="0" w:color="auto"/>
              <w:right w:val="single" w:sz="6" w:space="0" w:color="auto"/>
            </w:tcBorders>
          </w:tcPr>
          <w:p w14:paraId="6482A754"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As Required </w:t>
            </w:r>
          </w:p>
        </w:tc>
      </w:tr>
      <w:tr w:rsidR="00364043" w14:paraId="1F66218F" w14:textId="77777777">
        <w:tc>
          <w:tcPr>
            <w:tcW w:w="1250" w:type="pct"/>
            <w:tcBorders>
              <w:top w:val="single" w:sz="6" w:space="0" w:color="auto"/>
              <w:left w:val="single" w:sz="6" w:space="0" w:color="auto"/>
              <w:bottom w:val="single" w:sz="6" w:space="0" w:color="auto"/>
              <w:right w:val="single" w:sz="6" w:space="0" w:color="auto"/>
            </w:tcBorders>
          </w:tcPr>
          <w:p w14:paraId="35566705"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2024 </w:t>
            </w:r>
          </w:p>
        </w:tc>
        <w:tc>
          <w:tcPr>
            <w:tcW w:w="1250" w:type="pct"/>
            <w:tcBorders>
              <w:top w:val="single" w:sz="6" w:space="0" w:color="auto"/>
              <w:left w:val="single" w:sz="6" w:space="0" w:color="auto"/>
              <w:bottom w:val="single" w:sz="6" w:space="0" w:color="auto"/>
              <w:right w:val="single" w:sz="6" w:space="0" w:color="auto"/>
            </w:tcBorders>
          </w:tcPr>
          <w:p w14:paraId="4EBB0A0D"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Energy Neutrality Sub-Group </w:t>
            </w:r>
          </w:p>
        </w:tc>
        <w:tc>
          <w:tcPr>
            <w:tcW w:w="1250" w:type="pct"/>
            <w:tcBorders>
              <w:top w:val="single" w:sz="6" w:space="0" w:color="auto"/>
              <w:left w:val="single" w:sz="6" w:space="0" w:color="auto"/>
              <w:bottom w:val="single" w:sz="6" w:space="0" w:color="auto"/>
              <w:right w:val="single" w:sz="6" w:space="0" w:color="auto"/>
            </w:tcBorders>
          </w:tcPr>
          <w:p w14:paraId="787D6963"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A group to assist with the transposition of the recast Urban Wastewater Treatment Directive</w:t>
            </w:r>
          </w:p>
        </w:tc>
        <w:tc>
          <w:tcPr>
            <w:tcW w:w="1250" w:type="pct"/>
            <w:tcBorders>
              <w:top w:val="single" w:sz="6" w:space="0" w:color="auto"/>
              <w:left w:val="single" w:sz="6" w:space="0" w:color="auto"/>
              <w:bottom w:val="single" w:sz="6" w:space="0" w:color="auto"/>
              <w:right w:val="single" w:sz="6" w:space="0" w:color="auto"/>
            </w:tcBorders>
          </w:tcPr>
          <w:p w14:paraId="7E4104E8"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As Required </w:t>
            </w:r>
          </w:p>
        </w:tc>
      </w:tr>
      <w:tr w:rsidR="00364043" w14:paraId="5D262DCC" w14:textId="77777777">
        <w:tc>
          <w:tcPr>
            <w:tcW w:w="1250" w:type="pct"/>
            <w:tcBorders>
              <w:top w:val="single" w:sz="6" w:space="0" w:color="auto"/>
              <w:left w:val="single" w:sz="6" w:space="0" w:color="auto"/>
              <w:bottom w:val="single" w:sz="6" w:space="0" w:color="auto"/>
              <w:right w:val="single" w:sz="6" w:space="0" w:color="auto"/>
            </w:tcBorders>
          </w:tcPr>
          <w:p w14:paraId="2C22265E"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2024 </w:t>
            </w:r>
          </w:p>
        </w:tc>
        <w:tc>
          <w:tcPr>
            <w:tcW w:w="1250" w:type="pct"/>
            <w:tcBorders>
              <w:top w:val="single" w:sz="6" w:space="0" w:color="auto"/>
              <w:left w:val="single" w:sz="6" w:space="0" w:color="auto"/>
              <w:bottom w:val="single" w:sz="6" w:space="0" w:color="auto"/>
              <w:right w:val="single" w:sz="6" w:space="0" w:color="auto"/>
            </w:tcBorders>
          </w:tcPr>
          <w:p w14:paraId="3526BF90"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Health Surveillance Sub-Group </w:t>
            </w:r>
          </w:p>
        </w:tc>
        <w:tc>
          <w:tcPr>
            <w:tcW w:w="1250" w:type="pct"/>
            <w:tcBorders>
              <w:top w:val="single" w:sz="6" w:space="0" w:color="auto"/>
              <w:left w:val="single" w:sz="6" w:space="0" w:color="auto"/>
              <w:bottom w:val="single" w:sz="6" w:space="0" w:color="auto"/>
              <w:right w:val="single" w:sz="6" w:space="0" w:color="auto"/>
            </w:tcBorders>
          </w:tcPr>
          <w:p w14:paraId="2A8FC1DE"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A group to assist with the transposition of the recast Urban Wastewater Treatment Directive</w:t>
            </w:r>
          </w:p>
        </w:tc>
        <w:tc>
          <w:tcPr>
            <w:tcW w:w="1250" w:type="pct"/>
            <w:tcBorders>
              <w:top w:val="single" w:sz="6" w:space="0" w:color="auto"/>
              <w:left w:val="single" w:sz="6" w:space="0" w:color="auto"/>
              <w:bottom w:val="single" w:sz="6" w:space="0" w:color="auto"/>
              <w:right w:val="single" w:sz="6" w:space="0" w:color="auto"/>
            </w:tcBorders>
          </w:tcPr>
          <w:p w14:paraId="680D3138"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As Required </w:t>
            </w:r>
          </w:p>
        </w:tc>
      </w:tr>
      <w:tr w:rsidR="00364043" w14:paraId="3B49924B" w14:textId="77777777">
        <w:tc>
          <w:tcPr>
            <w:tcW w:w="1250" w:type="pct"/>
            <w:tcBorders>
              <w:top w:val="single" w:sz="6" w:space="0" w:color="auto"/>
              <w:left w:val="single" w:sz="6" w:space="0" w:color="auto"/>
              <w:bottom w:val="single" w:sz="6" w:space="0" w:color="auto"/>
              <w:right w:val="single" w:sz="6" w:space="0" w:color="auto"/>
            </w:tcBorders>
          </w:tcPr>
          <w:p w14:paraId="1CB7E000"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2024 </w:t>
            </w:r>
          </w:p>
        </w:tc>
        <w:tc>
          <w:tcPr>
            <w:tcW w:w="1250" w:type="pct"/>
            <w:tcBorders>
              <w:top w:val="single" w:sz="6" w:space="0" w:color="auto"/>
              <w:left w:val="single" w:sz="6" w:space="0" w:color="auto"/>
              <w:bottom w:val="single" w:sz="6" w:space="0" w:color="auto"/>
              <w:right w:val="single" w:sz="6" w:space="0" w:color="auto"/>
            </w:tcBorders>
          </w:tcPr>
          <w:p w14:paraId="55192143"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Integrated Urban Wastewater Management Plan Sub-Group</w:t>
            </w:r>
          </w:p>
        </w:tc>
        <w:tc>
          <w:tcPr>
            <w:tcW w:w="1250" w:type="pct"/>
            <w:tcBorders>
              <w:top w:val="single" w:sz="6" w:space="0" w:color="auto"/>
              <w:left w:val="single" w:sz="6" w:space="0" w:color="auto"/>
              <w:bottom w:val="single" w:sz="6" w:space="0" w:color="auto"/>
              <w:right w:val="single" w:sz="6" w:space="0" w:color="auto"/>
            </w:tcBorders>
          </w:tcPr>
          <w:p w14:paraId="401DE932"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A group to assist with the transposition of the recast Urban Wastewater Treatment Directive </w:t>
            </w:r>
          </w:p>
        </w:tc>
        <w:tc>
          <w:tcPr>
            <w:tcW w:w="1250" w:type="pct"/>
            <w:tcBorders>
              <w:top w:val="single" w:sz="6" w:space="0" w:color="auto"/>
              <w:left w:val="single" w:sz="6" w:space="0" w:color="auto"/>
              <w:bottom w:val="single" w:sz="6" w:space="0" w:color="auto"/>
              <w:right w:val="single" w:sz="6" w:space="0" w:color="auto"/>
            </w:tcBorders>
          </w:tcPr>
          <w:p w14:paraId="5688058B"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As Required </w:t>
            </w:r>
          </w:p>
        </w:tc>
      </w:tr>
      <w:tr w:rsidR="00364043" w14:paraId="296E1EF4" w14:textId="77777777">
        <w:tc>
          <w:tcPr>
            <w:tcW w:w="1250" w:type="pct"/>
            <w:tcBorders>
              <w:top w:val="single" w:sz="6" w:space="0" w:color="auto"/>
              <w:left w:val="single" w:sz="6" w:space="0" w:color="auto"/>
              <w:bottom w:val="single" w:sz="6" w:space="0" w:color="auto"/>
              <w:right w:val="single" w:sz="6" w:space="0" w:color="auto"/>
            </w:tcBorders>
          </w:tcPr>
          <w:p w14:paraId="107E1733"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2024 </w:t>
            </w:r>
          </w:p>
        </w:tc>
        <w:tc>
          <w:tcPr>
            <w:tcW w:w="1250" w:type="pct"/>
            <w:tcBorders>
              <w:top w:val="single" w:sz="6" w:space="0" w:color="auto"/>
              <w:left w:val="single" w:sz="6" w:space="0" w:color="auto"/>
              <w:bottom w:val="single" w:sz="6" w:space="0" w:color="auto"/>
              <w:right w:val="single" w:sz="6" w:space="0" w:color="auto"/>
            </w:tcBorders>
          </w:tcPr>
          <w:p w14:paraId="504CABBC"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Risk Assessment Sub-Group </w:t>
            </w:r>
          </w:p>
        </w:tc>
        <w:tc>
          <w:tcPr>
            <w:tcW w:w="1250" w:type="pct"/>
            <w:tcBorders>
              <w:top w:val="single" w:sz="6" w:space="0" w:color="auto"/>
              <w:left w:val="single" w:sz="6" w:space="0" w:color="auto"/>
              <w:bottom w:val="single" w:sz="6" w:space="0" w:color="auto"/>
              <w:right w:val="single" w:sz="6" w:space="0" w:color="auto"/>
            </w:tcBorders>
          </w:tcPr>
          <w:p w14:paraId="28652B95"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A group to assist with the transposition of the recast Urban Wastewater Treatment Directive</w:t>
            </w:r>
          </w:p>
        </w:tc>
        <w:tc>
          <w:tcPr>
            <w:tcW w:w="1250" w:type="pct"/>
            <w:tcBorders>
              <w:top w:val="single" w:sz="6" w:space="0" w:color="auto"/>
              <w:left w:val="single" w:sz="6" w:space="0" w:color="auto"/>
              <w:bottom w:val="single" w:sz="6" w:space="0" w:color="auto"/>
              <w:right w:val="single" w:sz="6" w:space="0" w:color="auto"/>
            </w:tcBorders>
          </w:tcPr>
          <w:p w14:paraId="4C45B644"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As Required </w:t>
            </w:r>
          </w:p>
        </w:tc>
      </w:tr>
      <w:tr w:rsidR="00364043" w14:paraId="462F2BEB" w14:textId="77777777">
        <w:tc>
          <w:tcPr>
            <w:tcW w:w="1250" w:type="pct"/>
            <w:tcBorders>
              <w:top w:val="single" w:sz="6" w:space="0" w:color="auto"/>
              <w:left w:val="single" w:sz="6" w:space="0" w:color="auto"/>
              <w:bottom w:val="single" w:sz="6" w:space="0" w:color="auto"/>
              <w:right w:val="single" w:sz="6" w:space="0" w:color="auto"/>
            </w:tcBorders>
          </w:tcPr>
          <w:p w14:paraId="00A63EBA"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2024 </w:t>
            </w:r>
          </w:p>
        </w:tc>
        <w:tc>
          <w:tcPr>
            <w:tcW w:w="1250" w:type="pct"/>
            <w:tcBorders>
              <w:top w:val="single" w:sz="6" w:space="0" w:color="auto"/>
              <w:left w:val="single" w:sz="6" w:space="0" w:color="auto"/>
              <w:bottom w:val="single" w:sz="6" w:space="0" w:color="auto"/>
              <w:right w:val="single" w:sz="6" w:space="0" w:color="auto"/>
            </w:tcBorders>
          </w:tcPr>
          <w:p w14:paraId="04C10F02"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Extended Producer Responsibility Stakeholder Forum </w:t>
            </w:r>
          </w:p>
        </w:tc>
        <w:tc>
          <w:tcPr>
            <w:tcW w:w="1250" w:type="pct"/>
            <w:tcBorders>
              <w:top w:val="single" w:sz="6" w:space="0" w:color="auto"/>
              <w:left w:val="single" w:sz="6" w:space="0" w:color="auto"/>
              <w:bottom w:val="single" w:sz="6" w:space="0" w:color="auto"/>
              <w:right w:val="single" w:sz="6" w:space="0" w:color="auto"/>
            </w:tcBorders>
          </w:tcPr>
          <w:p w14:paraId="7D69845C"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A group to assist with the transposition of the recast Urban Wastewater Treatment Directive</w:t>
            </w:r>
          </w:p>
        </w:tc>
        <w:tc>
          <w:tcPr>
            <w:tcW w:w="1250" w:type="pct"/>
            <w:tcBorders>
              <w:top w:val="single" w:sz="6" w:space="0" w:color="auto"/>
              <w:left w:val="single" w:sz="6" w:space="0" w:color="auto"/>
              <w:bottom w:val="single" w:sz="6" w:space="0" w:color="auto"/>
              <w:right w:val="single" w:sz="6" w:space="0" w:color="auto"/>
            </w:tcBorders>
          </w:tcPr>
          <w:p w14:paraId="5407B171"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As Required </w:t>
            </w:r>
          </w:p>
        </w:tc>
      </w:tr>
      <w:tr w:rsidR="00364043" w14:paraId="556F7F94" w14:textId="77777777">
        <w:tc>
          <w:tcPr>
            <w:tcW w:w="1250" w:type="pct"/>
            <w:tcBorders>
              <w:top w:val="single" w:sz="6" w:space="0" w:color="auto"/>
              <w:left w:val="single" w:sz="6" w:space="0" w:color="auto"/>
              <w:bottom w:val="single" w:sz="6" w:space="0" w:color="auto"/>
              <w:right w:val="single" w:sz="6" w:space="0" w:color="auto"/>
            </w:tcBorders>
          </w:tcPr>
          <w:p w14:paraId="1AB4B77B"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lastRenderedPageBreak/>
              <w:t xml:space="preserve">2024 </w:t>
            </w:r>
          </w:p>
        </w:tc>
        <w:tc>
          <w:tcPr>
            <w:tcW w:w="1250" w:type="pct"/>
            <w:tcBorders>
              <w:top w:val="single" w:sz="6" w:space="0" w:color="auto"/>
              <w:left w:val="single" w:sz="6" w:space="0" w:color="auto"/>
              <w:bottom w:val="single" w:sz="6" w:space="0" w:color="auto"/>
              <w:right w:val="single" w:sz="6" w:space="0" w:color="auto"/>
            </w:tcBorders>
          </w:tcPr>
          <w:p w14:paraId="21EFACBF"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National Urban Nature-Based Solutions Strategy Committee </w:t>
            </w:r>
          </w:p>
        </w:tc>
        <w:tc>
          <w:tcPr>
            <w:tcW w:w="1250" w:type="pct"/>
            <w:tcBorders>
              <w:top w:val="single" w:sz="6" w:space="0" w:color="auto"/>
              <w:left w:val="single" w:sz="6" w:space="0" w:color="auto"/>
              <w:bottom w:val="single" w:sz="6" w:space="0" w:color="auto"/>
              <w:right w:val="single" w:sz="6" w:space="0" w:color="auto"/>
            </w:tcBorders>
          </w:tcPr>
          <w:p w14:paraId="02C2E4AC"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A committee to assist with the implementation of the National Urban Nature-based Solutions Strategy</w:t>
            </w:r>
          </w:p>
        </w:tc>
        <w:tc>
          <w:tcPr>
            <w:tcW w:w="1250" w:type="pct"/>
            <w:tcBorders>
              <w:top w:val="single" w:sz="6" w:space="0" w:color="auto"/>
              <w:left w:val="single" w:sz="6" w:space="0" w:color="auto"/>
              <w:bottom w:val="single" w:sz="6" w:space="0" w:color="auto"/>
              <w:right w:val="single" w:sz="6" w:space="0" w:color="auto"/>
            </w:tcBorders>
          </w:tcPr>
          <w:p w14:paraId="09CB4054"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As Required </w:t>
            </w:r>
          </w:p>
        </w:tc>
      </w:tr>
      <w:tr w:rsidR="00364043" w14:paraId="78E47670" w14:textId="77777777">
        <w:tc>
          <w:tcPr>
            <w:tcW w:w="1250" w:type="pct"/>
            <w:tcBorders>
              <w:top w:val="single" w:sz="6" w:space="0" w:color="auto"/>
              <w:left w:val="single" w:sz="6" w:space="0" w:color="auto"/>
              <w:bottom w:val="single" w:sz="6" w:space="0" w:color="auto"/>
              <w:right w:val="single" w:sz="6" w:space="0" w:color="auto"/>
            </w:tcBorders>
          </w:tcPr>
          <w:p w14:paraId="317E2FEB"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2024 </w:t>
            </w:r>
          </w:p>
        </w:tc>
        <w:tc>
          <w:tcPr>
            <w:tcW w:w="1250" w:type="pct"/>
            <w:tcBorders>
              <w:top w:val="single" w:sz="6" w:space="0" w:color="auto"/>
              <w:left w:val="single" w:sz="6" w:space="0" w:color="auto"/>
              <w:bottom w:val="single" w:sz="6" w:space="0" w:color="auto"/>
              <w:right w:val="single" w:sz="6" w:space="0" w:color="auto"/>
            </w:tcBorders>
          </w:tcPr>
          <w:p w14:paraId="510108C9"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Nitrates Expert Group </w:t>
            </w:r>
          </w:p>
        </w:tc>
        <w:tc>
          <w:tcPr>
            <w:tcW w:w="1250" w:type="pct"/>
            <w:tcBorders>
              <w:top w:val="single" w:sz="6" w:space="0" w:color="auto"/>
              <w:left w:val="single" w:sz="6" w:space="0" w:color="auto"/>
              <w:bottom w:val="single" w:sz="6" w:space="0" w:color="auto"/>
              <w:right w:val="single" w:sz="6" w:space="0" w:color="auto"/>
            </w:tcBorders>
          </w:tcPr>
          <w:p w14:paraId="2FBAECA0"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A group to consider and make recommendations on measures to protect water quality from nutrients arising from agriculture, in the development of the Nitrates Action Programmes</w:t>
            </w:r>
          </w:p>
        </w:tc>
        <w:tc>
          <w:tcPr>
            <w:tcW w:w="1250" w:type="pct"/>
            <w:tcBorders>
              <w:top w:val="single" w:sz="6" w:space="0" w:color="auto"/>
              <w:left w:val="single" w:sz="6" w:space="0" w:color="auto"/>
              <w:bottom w:val="single" w:sz="6" w:space="0" w:color="auto"/>
              <w:right w:val="single" w:sz="6" w:space="0" w:color="auto"/>
            </w:tcBorders>
          </w:tcPr>
          <w:p w14:paraId="3114754A"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As Required </w:t>
            </w:r>
          </w:p>
        </w:tc>
      </w:tr>
      <w:tr w:rsidR="00364043" w14:paraId="13D8617B" w14:textId="77777777">
        <w:tc>
          <w:tcPr>
            <w:tcW w:w="1250" w:type="pct"/>
            <w:tcBorders>
              <w:top w:val="single" w:sz="6" w:space="0" w:color="auto"/>
              <w:left w:val="single" w:sz="6" w:space="0" w:color="auto"/>
              <w:bottom w:val="single" w:sz="6" w:space="0" w:color="auto"/>
              <w:right w:val="single" w:sz="6" w:space="0" w:color="auto"/>
            </w:tcBorders>
          </w:tcPr>
          <w:p w14:paraId="6FA0AFBB"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2024 </w:t>
            </w:r>
          </w:p>
        </w:tc>
        <w:tc>
          <w:tcPr>
            <w:tcW w:w="1250" w:type="pct"/>
            <w:tcBorders>
              <w:top w:val="single" w:sz="6" w:space="0" w:color="auto"/>
              <w:left w:val="single" w:sz="6" w:space="0" w:color="auto"/>
              <w:bottom w:val="single" w:sz="6" w:space="0" w:color="auto"/>
              <w:right w:val="single" w:sz="6" w:space="0" w:color="auto"/>
            </w:tcBorders>
          </w:tcPr>
          <w:p w14:paraId="02827B52"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Developer Provided Infrastructure Steering Group </w:t>
            </w:r>
          </w:p>
        </w:tc>
        <w:tc>
          <w:tcPr>
            <w:tcW w:w="1250" w:type="pct"/>
            <w:tcBorders>
              <w:top w:val="single" w:sz="6" w:space="0" w:color="auto"/>
              <w:left w:val="single" w:sz="6" w:space="0" w:color="auto"/>
              <w:bottom w:val="single" w:sz="6" w:space="0" w:color="auto"/>
              <w:right w:val="single" w:sz="6" w:space="0" w:color="auto"/>
            </w:tcBorders>
          </w:tcPr>
          <w:p w14:paraId="62C198EE"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A group to oversee, at a national level, progress of the resolution of Developer Provided Infrastructure </w:t>
            </w:r>
          </w:p>
        </w:tc>
        <w:tc>
          <w:tcPr>
            <w:tcW w:w="1250" w:type="pct"/>
            <w:tcBorders>
              <w:top w:val="single" w:sz="6" w:space="0" w:color="auto"/>
              <w:left w:val="single" w:sz="6" w:space="0" w:color="auto"/>
              <w:bottom w:val="single" w:sz="6" w:space="0" w:color="auto"/>
              <w:right w:val="single" w:sz="6" w:space="0" w:color="auto"/>
            </w:tcBorders>
          </w:tcPr>
          <w:p w14:paraId="3814DFBF"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Quarterly </w:t>
            </w:r>
          </w:p>
        </w:tc>
      </w:tr>
      <w:tr w:rsidR="00364043" w14:paraId="6AD24119" w14:textId="77777777">
        <w:tc>
          <w:tcPr>
            <w:tcW w:w="1250" w:type="pct"/>
            <w:tcBorders>
              <w:top w:val="single" w:sz="6" w:space="0" w:color="auto"/>
              <w:left w:val="single" w:sz="6" w:space="0" w:color="auto"/>
              <w:bottom w:val="single" w:sz="6" w:space="0" w:color="auto"/>
              <w:right w:val="single" w:sz="6" w:space="0" w:color="auto"/>
            </w:tcBorders>
          </w:tcPr>
          <w:p w14:paraId="6F205CE9"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2024 </w:t>
            </w:r>
          </w:p>
        </w:tc>
        <w:tc>
          <w:tcPr>
            <w:tcW w:w="1250" w:type="pct"/>
            <w:tcBorders>
              <w:top w:val="single" w:sz="6" w:space="0" w:color="auto"/>
              <w:left w:val="single" w:sz="6" w:space="0" w:color="auto"/>
              <w:bottom w:val="single" w:sz="6" w:space="0" w:color="auto"/>
              <w:right w:val="single" w:sz="6" w:space="0" w:color="auto"/>
            </w:tcBorders>
          </w:tcPr>
          <w:p w14:paraId="47993D72"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Design, Build and Operate Working Group </w:t>
            </w:r>
          </w:p>
        </w:tc>
        <w:tc>
          <w:tcPr>
            <w:tcW w:w="1250" w:type="pct"/>
            <w:tcBorders>
              <w:top w:val="single" w:sz="6" w:space="0" w:color="auto"/>
              <w:left w:val="single" w:sz="6" w:space="0" w:color="auto"/>
              <w:bottom w:val="single" w:sz="6" w:space="0" w:color="auto"/>
              <w:right w:val="single" w:sz="6" w:space="0" w:color="auto"/>
            </w:tcBorders>
          </w:tcPr>
          <w:p w14:paraId="5CD72058"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A group to oversee the review of the Design, Build and Operate process model for Group Water Schemes</w:t>
            </w:r>
          </w:p>
        </w:tc>
        <w:tc>
          <w:tcPr>
            <w:tcW w:w="1250" w:type="pct"/>
            <w:tcBorders>
              <w:top w:val="single" w:sz="6" w:space="0" w:color="auto"/>
              <w:left w:val="single" w:sz="6" w:space="0" w:color="auto"/>
              <w:bottom w:val="single" w:sz="6" w:space="0" w:color="auto"/>
              <w:right w:val="single" w:sz="6" w:space="0" w:color="auto"/>
            </w:tcBorders>
          </w:tcPr>
          <w:p w14:paraId="4400B951"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Monthly </w:t>
            </w:r>
          </w:p>
        </w:tc>
      </w:tr>
      <w:tr w:rsidR="00364043" w14:paraId="0C2E4471" w14:textId="77777777">
        <w:tc>
          <w:tcPr>
            <w:tcW w:w="1250" w:type="pct"/>
            <w:tcBorders>
              <w:top w:val="single" w:sz="6" w:space="0" w:color="auto"/>
              <w:left w:val="single" w:sz="6" w:space="0" w:color="auto"/>
              <w:bottom w:val="single" w:sz="6" w:space="0" w:color="auto"/>
              <w:right w:val="single" w:sz="6" w:space="0" w:color="auto"/>
            </w:tcBorders>
          </w:tcPr>
          <w:p w14:paraId="1F1852C5"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2023 </w:t>
            </w:r>
          </w:p>
        </w:tc>
        <w:tc>
          <w:tcPr>
            <w:tcW w:w="1250" w:type="pct"/>
            <w:tcBorders>
              <w:top w:val="single" w:sz="6" w:space="0" w:color="auto"/>
              <w:left w:val="single" w:sz="6" w:space="0" w:color="auto"/>
              <w:bottom w:val="single" w:sz="6" w:space="0" w:color="auto"/>
              <w:right w:val="single" w:sz="6" w:space="0" w:color="auto"/>
            </w:tcBorders>
          </w:tcPr>
          <w:p w14:paraId="032C1E9F"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Shared Island Initiative Peatland Programme (SIIPP) Working Group</w:t>
            </w:r>
          </w:p>
        </w:tc>
        <w:tc>
          <w:tcPr>
            <w:tcW w:w="1250" w:type="pct"/>
            <w:tcBorders>
              <w:top w:val="single" w:sz="6" w:space="0" w:color="auto"/>
              <w:left w:val="single" w:sz="6" w:space="0" w:color="auto"/>
              <w:bottom w:val="single" w:sz="6" w:space="0" w:color="auto"/>
              <w:right w:val="single" w:sz="6" w:space="0" w:color="auto"/>
            </w:tcBorders>
          </w:tcPr>
          <w:p w14:paraId="4E9F5F13"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A group to oversee and coordinate Shared Island-funded peatland restoration being carried out by partner organisations in Ireland, Northern Ireland and Scotland.</w:t>
            </w:r>
          </w:p>
        </w:tc>
        <w:tc>
          <w:tcPr>
            <w:tcW w:w="1250" w:type="pct"/>
            <w:tcBorders>
              <w:top w:val="single" w:sz="6" w:space="0" w:color="auto"/>
              <w:left w:val="single" w:sz="6" w:space="0" w:color="auto"/>
              <w:bottom w:val="single" w:sz="6" w:space="0" w:color="auto"/>
              <w:right w:val="single" w:sz="6" w:space="0" w:color="auto"/>
            </w:tcBorders>
          </w:tcPr>
          <w:p w14:paraId="530F4747"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Monthly</w:t>
            </w:r>
          </w:p>
        </w:tc>
      </w:tr>
      <w:tr w:rsidR="00364043" w14:paraId="4B49884C" w14:textId="77777777">
        <w:tc>
          <w:tcPr>
            <w:tcW w:w="1250" w:type="pct"/>
            <w:tcBorders>
              <w:top w:val="single" w:sz="6" w:space="0" w:color="auto"/>
              <w:left w:val="single" w:sz="6" w:space="0" w:color="auto"/>
              <w:bottom w:val="single" w:sz="6" w:space="0" w:color="auto"/>
              <w:right w:val="single" w:sz="6" w:space="0" w:color="auto"/>
            </w:tcBorders>
          </w:tcPr>
          <w:p w14:paraId="660447C3"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2023 </w:t>
            </w:r>
          </w:p>
        </w:tc>
        <w:tc>
          <w:tcPr>
            <w:tcW w:w="1250" w:type="pct"/>
            <w:tcBorders>
              <w:top w:val="single" w:sz="6" w:space="0" w:color="auto"/>
              <w:left w:val="single" w:sz="6" w:space="0" w:color="auto"/>
              <w:bottom w:val="single" w:sz="6" w:space="0" w:color="auto"/>
              <w:right w:val="single" w:sz="6" w:space="0" w:color="auto"/>
            </w:tcBorders>
          </w:tcPr>
          <w:p w14:paraId="4D420431"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 </w:t>
            </w:r>
            <w:r>
              <w:rPr>
                <w:rFonts w:ascii="Tms Rmn" w:hAnsi="Tms Rmn" w:cs="Tms Rmn"/>
                <w:color w:val="000000"/>
                <w:kern w:val="0"/>
                <w:sz w:val="24"/>
                <w:szCs w:val="24"/>
              </w:rPr>
              <w:br/>
              <w:t xml:space="preserve">Fire Safety Research Group </w:t>
            </w:r>
          </w:p>
        </w:tc>
        <w:tc>
          <w:tcPr>
            <w:tcW w:w="1250" w:type="pct"/>
            <w:tcBorders>
              <w:top w:val="single" w:sz="6" w:space="0" w:color="auto"/>
              <w:left w:val="single" w:sz="6" w:space="0" w:color="auto"/>
              <w:bottom w:val="single" w:sz="6" w:space="0" w:color="auto"/>
              <w:right w:val="single" w:sz="6" w:space="0" w:color="auto"/>
            </w:tcBorders>
          </w:tcPr>
          <w:p w14:paraId="78A7AB68"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A group to develop and monitor a research project programme to support the technical advancement of Part B (Fire Safety) of the Second Schedule to the Building Regulations and Technical Guidance Document B</w:t>
            </w:r>
          </w:p>
        </w:tc>
        <w:tc>
          <w:tcPr>
            <w:tcW w:w="1250" w:type="pct"/>
            <w:tcBorders>
              <w:top w:val="single" w:sz="6" w:space="0" w:color="auto"/>
              <w:left w:val="single" w:sz="6" w:space="0" w:color="auto"/>
              <w:bottom w:val="single" w:sz="6" w:space="0" w:color="auto"/>
              <w:right w:val="single" w:sz="6" w:space="0" w:color="auto"/>
            </w:tcBorders>
          </w:tcPr>
          <w:p w14:paraId="5367AC4B"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3/4 Meetings Per Annum </w:t>
            </w:r>
          </w:p>
        </w:tc>
      </w:tr>
      <w:tr w:rsidR="00364043" w14:paraId="6DEBA5D8" w14:textId="77777777">
        <w:tc>
          <w:tcPr>
            <w:tcW w:w="1250" w:type="pct"/>
            <w:tcBorders>
              <w:top w:val="single" w:sz="6" w:space="0" w:color="auto"/>
              <w:left w:val="single" w:sz="6" w:space="0" w:color="auto"/>
              <w:bottom w:val="single" w:sz="6" w:space="0" w:color="auto"/>
              <w:right w:val="single" w:sz="6" w:space="0" w:color="auto"/>
            </w:tcBorders>
          </w:tcPr>
          <w:p w14:paraId="5EFE9749"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lastRenderedPageBreak/>
              <w:t xml:space="preserve">2023 </w:t>
            </w:r>
          </w:p>
        </w:tc>
        <w:tc>
          <w:tcPr>
            <w:tcW w:w="1250" w:type="pct"/>
            <w:tcBorders>
              <w:top w:val="single" w:sz="6" w:space="0" w:color="auto"/>
              <w:left w:val="single" w:sz="6" w:space="0" w:color="auto"/>
              <w:bottom w:val="single" w:sz="6" w:space="0" w:color="auto"/>
              <w:right w:val="single" w:sz="6" w:space="0" w:color="auto"/>
            </w:tcBorders>
          </w:tcPr>
          <w:p w14:paraId="67FEB6E4"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Inter-Departmental Steering Group on Coastal Change Management </w:t>
            </w:r>
          </w:p>
        </w:tc>
        <w:tc>
          <w:tcPr>
            <w:tcW w:w="1250" w:type="pct"/>
            <w:tcBorders>
              <w:top w:val="single" w:sz="6" w:space="0" w:color="auto"/>
              <w:left w:val="single" w:sz="6" w:space="0" w:color="auto"/>
              <w:bottom w:val="single" w:sz="6" w:space="0" w:color="auto"/>
              <w:right w:val="single" w:sz="6" w:space="0" w:color="auto"/>
            </w:tcBorders>
          </w:tcPr>
          <w:p w14:paraId="31BB2DD5"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A group tasked with developing a strategic framework for long-term, evidence-based decision-making in respect of managing coastal change</w:t>
            </w:r>
          </w:p>
        </w:tc>
        <w:tc>
          <w:tcPr>
            <w:tcW w:w="1250" w:type="pct"/>
            <w:tcBorders>
              <w:top w:val="single" w:sz="6" w:space="0" w:color="auto"/>
              <w:left w:val="single" w:sz="6" w:space="0" w:color="auto"/>
              <w:bottom w:val="single" w:sz="6" w:space="0" w:color="auto"/>
              <w:right w:val="single" w:sz="6" w:space="0" w:color="auto"/>
            </w:tcBorders>
          </w:tcPr>
          <w:p w14:paraId="74DA1885"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As Required </w:t>
            </w:r>
          </w:p>
        </w:tc>
      </w:tr>
      <w:tr w:rsidR="00364043" w14:paraId="272A6EEB" w14:textId="77777777">
        <w:tc>
          <w:tcPr>
            <w:tcW w:w="1250" w:type="pct"/>
            <w:tcBorders>
              <w:top w:val="single" w:sz="6" w:space="0" w:color="auto"/>
              <w:left w:val="single" w:sz="6" w:space="0" w:color="auto"/>
              <w:bottom w:val="single" w:sz="6" w:space="0" w:color="auto"/>
              <w:right w:val="single" w:sz="6" w:space="0" w:color="auto"/>
            </w:tcBorders>
          </w:tcPr>
          <w:p w14:paraId="04462F4E"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2023 </w:t>
            </w:r>
          </w:p>
        </w:tc>
        <w:tc>
          <w:tcPr>
            <w:tcW w:w="1250" w:type="pct"/>
            <w:tcBorders>
              <w:top w:val="single" w:sz="6" w:space="0" w:color="auto"/>
              <w:left w:val="single" w:sz="6" w:space="0" w:color="auto"/>
              <w:bottom w:val="single" w:sz="6" w:space="0" w:color="auto"/>
              <w:right w:val="single" w:sz="6" w:space="0" w:color="auto"/>
            </w:tcBorders>
          </w:tcPr>
          <w:p w14:paraId="1391831A"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Project Tracking Group </w:t>
            </w:r>
          </w:p>
        </w:tc>
        <w:tc>
          <w:tcPr>
            <w:tcW w:w="1250" w:type="pct"/>
            <w:tcBorders>
              <w:top w:val="single" w:sz="6" w:space="0" w:color="auto"/>
              <w:left w:val="single" w:sz="6" w:space="0" w:color="auto"/>
              <w:bottom w:val="single" w:sz="6" w:space="0" w:color="auto"/>
              <w:right w:val="single" w:sz="6" w:space="0" w:color="auto"/>
            </w:tcBorders>
          </w:tcPr>
          <w:p w14:paraId="505F4606"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A group to give a view of the </w:t>
            </w:r>
            <w:proofErr w:type="spellStart"/>
            <w:r>
              <w:rPr>
                <w:rFonts w:ascii="Tms Rmn" w:hAnsi="Tms Rmn" w:cs="Tms Rmn"/>
                <w:color w:val="000000"/>
                <w:kern w:val="0"/>
                <w:sz w:val="24"/>
                <w:szCs w:val="24"/>
              </w:rPr>
              <w:t>Uisce</w:t>
            </w:r>
            <w:proofErr w:type="spellEnd"/>
            <w:r>
              <w:rPr>
                <w:rFonts w:ascii="Tms Rmn" w:hAnsi="Tms Rmn" w:cs="Tms Rmn"/>
                <w:color w:val="000000"/>
                <w:kern w:val="0"/>
                <w:sz w:val="24"/>
                <w:szCs w:val="24"/>
              </w:rPr>
              <w:t xml:space="preserve"> Éireann project pipeline and the lifecycle stage of projects, to stake holders </w:t>
            </w:r>
            <w:proofErr w:type="gramStart"/>
            <w:r>
              <w:rPr>
                <w:rFonts w:ascii="Tms Rmn" w:hAnsi="Tms Rmn" w:cs="Tms Rmn"/>
                <w:color w:val="000000"/>
                <w:kern w:val="0"/>
                <w:sz w:val="24"/>
                <w:szCs w:val="24"/>
              </w:rPr>
              <w:t>in order to</w:t>
            </w:r>
            <w:proofErr w:type="gramEnd"/>
            <w:r>
              <w:rPr>
                <w:rFonts w:ascii="Tms Rmn" w:hAnsi="Tms Rmn" w:cs="Tms Rmn"/>
                <w:color w:val="000000"/>
                <w:kern w:val="0"/>
                <w:sz w:val="24"/>
                <w:szCs w:val="24"/>
              </w:rPr>
              <w:t xml:space="preserve"> plan for their roles in the Public Spending Code process. The group is chaired by my </w:t>
            </w:r>
            <w:proofErr w:type="gramStart"/>
            <w:r>
              <w:rPr>
                <w:rFonts w:ascii="Tms Rmn" w:hAnsi="Tms Rmn" w:cs="Tms Rmn"/>
                <w:color w:val="000000"/>
                <w:kern w:val="0"/>
                <w:sz w:val="24"/>
                <w:szCs w:val="24"/>
              </w:rPr>
              <w:t>Department</w:t>
            </w:r>
            <w:proofErr w:type="gramEnd"/>
            <w:r>
              <w:rPr>
                <w:rFonts w:ascii="Tms Rmn" w:hAnsi="Tms Rmn" w:cs="Tms Rmn"/>
                <w:color w:val="000000"/>
                <w:kern w:val="0"/>
                <w:sz w:val="24"/>
                <w:szCs w:val="24"/>
              </w:rPr>
              <w:t xml:space="preserve"> and includes </w:t>
            </w:r>
            <w:proofErr w:type="spellStart"/>
            <w:r>
              <w:rPr>
                <w:rFonts w:ascii="Tms Rmn" w:hAnsi="Tms Rmn" w:cs="Tms Rmn"/>
                <w:color w:val="000000"/>
                <w:kern w:val="0"/>
                <w:sz w:val="24"/>
                <w:szCs w:val="24"/>
              </w:rPr>
              <w:t>Uisce</w:t>
            </w:r>
            <w:proofErr w:type="spellEnd"/>
            <w:r>
              <w:rPr>
                <w:rFonts w:ascii="Tms Rmn" w:hAnsi="Tms Rmn" w:cs="Tms Rmn"/>
                <w:color w:val="000000"/>
                <w:kern w:val="0"/>
                <w:sz w:val="24"/>
                <w:szCs w:val="24"/>
              </w:rPr>
              <w:t xml:space="preserve"> Éireann, the Commission for Regulation of Utilities, and other relevant stakeholders</w:t>
            </w:r>
          </w:p>
        </w:tc>
        <w:tc>
          <w:tcPr>
            <w:tcW w:w="1250" w:type="pct"/>
            <w:tcBorders>
              <w:top w:val="single" w:sz="6" w:space="0" w:color="auto"/>
              <w:left w:val="single" w:sz="6" w:space="0" w:color="auto"/>
              <w:bottom w:val="single" w:sz="6" w:space="0" w:color="auto"/>
              <w:right w:val="single" w:sz="6" w:space="0" w:color="auto"/>
            </w:tcBorders>
          </w:tcPr>
          <w:p w14:paraId="720E3C41"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Quarterly </w:t>
            </w:r>
          </w:p>
        </w:tc>
      </w:tr>
      <w:tr w:rsidR="00364043" w14:paraId="12993415" w14:textId="77777777">
        <w:tc>
          <w:tcPr>
            <w:tcW w:w="1250" w:type="pct"/>
            <w:tcBorders>
              <w:top w:val="single" w:sz="6" w:space="0" w:color="auto"/>
              <w:left w:val="single" w:sz="6" w:space="0" w:color="auto"/>
              <w:bottom w:val="single" w:sz="6" w:space="0" w:color="auto"/>
              <w:right w:val="single" w:sz="6" w:space="0" w:color="auto"/>
            </w:tcBorders>
          </w:tcPr>
          <w:p w14:paraId="21EDF707"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2023</w:t>
            </w:r>
          </w:p>
        </w:tc>
        <w:tc>
          <w:tcPr>
            <w:tcW w:w="1250" w:type="pct"/>
            <w:tcBorders>
              <w:top w:val="single" w:sz="6" w:space="0" w:color="auto"/>
              <w:left w:val="single" w:sz="6" w:space="0" w:color="auto"/>
              <w:bottom w:val="single" w:sz="6" w:space="0" w:color="auto"/>
              <w:right w:val="single" w:sz="6" w:space="0" w:color="auto"/>
            </w:tcBorders>
          </w:tcPr>
          <w:p w14:paraId="412A9039"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Water Services Transformation – Legacy Issues Group</w:t>
            </w:r>
          </w:p>
        </w:tc>
        <w:tc>
          <w:tcPr>
            <w:tcW w:w="1250" w:type="pct"/>
            <w:tcBorders>
              <w:top w:val="single" w:sz="6" w:space="0" w:color="auto"/>
              <w:left w:val="single" w:sz="6" w:space="0" w:color="auto"/>
              <w:bottom w:val="single" w:sz="6" w:space="0" w:color="auto"/>
              <w:right w:val="single" w:sz="6" w:space="0" w:color="auto"/>
            </w:tcBorders>
          </w:tcPr>
          <w:p w14:paraId="18EBBBE4"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Representatives from local authorities, the Water Services Transition Office and my Department meet to discuss legacy issues that arise as part of the water sector transformation programme</w:t>
            </w:r>
          </w:p>
        </w:tc>
        <w:tc>
          <w:tcPr>
            <w:tcW w:w="1250" w:type="pct"/>
            <w:tcBorders>
              <w:top w:val="single" w:sz="6" w:space="0" w:color="auto"/>
              <w:left w:val="single" w:sz="6" w:space="0" w:color="auto"/>
              <w:bottom w:val="single" w:sz="6" w:space="0" w:color="auto"/>
              <w:right w:val="single" w:sz="6" w:space="0" w:color="auto"/>
            </w:tcBorders>
          </w:tcPr>
          <w:p w14:paraId="2693E3DC"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Monthly</w:t>
            </w:r>
          </w:p>
        </w:tc>
      </w:tr>
      <w:tr w:rsidR="00364043" w14:paraId="0FFD635C" w14:textId="77777777">
        <w:tc>
          <w:tcPr>
            <w:tcW w:w="1250" w:type="pct"/>
            <w:tcBorders>
              <w:top w:val="single" w:sz="6" w:space="0" w:color="auto"/>
              <w:left w:val="single" w:sz="6" w:space="0" w:color="auto"/>
              <w:bottom w:val="single" w:sz="6" w:space="0" w:color="auto"/>
              <w:right w:val="single" w:sz="6" w:space="0" w:color="auto"/>
            </w:tcBorders>
          </w:tcPr>
          <w:p w14:paraId="1A6FD635"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2022 </w:t>
            </w:r>
          </w:p>
        </w:tc>
        <w:tc>
          <w:tcPr>
            <w:tcW w:w="1250" w:type="pct"/>
            <w:tcBorders>
              <w:top w:val="single" w:sz="6" w:space="0" w:color="auto"/>
              <w:left w:val="single" w:sz="6" w:space="0" w:color="auto"/>
              <w:bottom w:val="single" w:sz="6" w:space="0" w:color="auto"/>
              <w:right w:val="single" w:sz="6" w:space="0" w:color="auto"/>
            </w:tcBorders>
          </w:tcPr>
          <w:p w14:paraId="4F797B28"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Stakeholder Working Group for the Review of Local Authority Strategic Policy Committees </w:t>
            </w:r>
          </w:p>
        </w:tc>
        <w:tc>
          <w:tcPr>
            <w:tcW w:w="1250" w:type="pct"/>
            <w:tcBorders>
              <w:top w:val="single" w:sz="6" w:space="0" w:color="auto"/>
              <w:left w:val="single" w:sz="6" w:space="0" w:color="auto"/>
              <w:bottom w:val="single" w:sz="6" w:space="0" w:color="auto"/>
              <w:right w:val="single" w:sz="6" w:space="0" w:color="auto"/>
            </w:tcBorders>
          </w:tcPr>
          <w:p w14:paraId="02768773"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To oversee, advise and guide an independent review of local authority Strategic Policy Committees</w:t>
            </w:r>
          </w:p>
        </w:tc>
        <w:tc>
          <w:tcPr>
            <w:tcW w:w="1250" w:type="pct"/>
            <w:tcBorders>
              <w:top w:val="single" w:sz="6" w:space="0" w:color="auto"/>
              <w:left w:val="single" w:sz="6" w:space="0" w:color="auto"/>
              <w:bottom w:val="single" w:sz="6" w:space="0" w:color="auto"/>
              <w:right w:val="single" w:sz="6" w:space="0" w:color="auto"/>
            </w:tcBorders>
          </w:tcPr>
          <w:p w14:paraId="1836F90F"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As Required </w:t>
            </w:r>
          </w:p>
        </w:tc>
      </w:tr>
      <w:tr w:rsidR="00364043" w14:paraId="45E18C67" w14:textId="77777777">
        <w:tc>
          <w:tcPr>
            <w:tcW w:w="1250" w:type="pct"/>
            <w:tcBorders>
              <w:top w:val="single" w:sz="6" w:space="0" w:color="auto"/>
              <w:left w:val="single" w:sz="6" w:space="0" w:color="auto"/>
              <w:bottom w:val="single" w:sz="6" w:space="0" w:color="auto"/>
              <w:right w:val="single" w:sz="6" w:space="0" w:color="auto"/>
            </w:tcBorders>
          </w:tcPr>
          <w:p w14:paraId="06D97FAA"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2022 </w:t>
            </w:r>
          </w:p>
        </w:tc>
        <w:tc>
          <w:tcPr>
            <w:tcW w:w="1250" w:type="pct"/>
            <w:tcBorders>
              <w:top w:val="single" w:sz="6" w:space="0" w:color="auto"/>
              <w:left w:val="single" w:sz="6" w:space="0" w:color="auto"/>
              <w:bottom w:val="single" w:sz="6" w:space="0" w:color="auto"/>
              <w:right w:val="single" w:sz="6" w:space="0" w:color="auto"/>
            </w:tcBorders>
          </w:tcPr>
          <w:p w14:paraId="61035BEC"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Heritage Ireland 2030 National Steering Committee </w:t>
            </w:r>
          </w:p>
        </w:tc>
        <w:tc>
          <w:tcPr>
            <w:tcW w:w="1250" w:type="pct"/>
            <w:tcBorders>
              <w:top w:val="single" w:sz="6" w:space="0" w:color="auto"/>
              <w:left w:val="single" w:sz="6" w:space="0" w:color="auto"/>
              <w:bottom w:val="single" w:sz="6" w:space="0" w:color="auto"/>
              <w:right w:val="single" w:sz="6" w:space="0" w:color="auto"/>
            </w:tcBorders>
          </w:tcPr>
          <w:p w14:paraId="58EA4B4B"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To committee to provide high-level oversight and support for implementation of Heritage Ireland 2030</w:t>
            </w:r>
          </w:p>
        </w:tc>
        <w:tc>
          <w:tcPr>
            <w:tcW w:w="1250" w:type="pct"/>
            <w:tcBorders>
              <w:top w:val="single" w:sz="6" w:space="0" w:color="auto"/>
              <w:left w:val="single" w:sz="6" w:space="0" w:color="auto"/>
              <w:bottom w:val="single" w:sz="6" w:space="0" w:color="auto"/>
              <w:right w:val="single" w:sz="6" w:space="0" w:color="auto"/>
            </w:tcBorders>
          </w:tcPr>
          <w:p w14:paraId="2F575EEE"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Biannually </w:t>
            </w:r>
          </w:p>
        </w:tc>
      </w:tr>
      <w:tr w:rsidR="00364043" w14:paraId="1ADA9646" w14:textId="77777777">
        <w:tc>
          <w:tcPr>
            <w:tcW w:w="1250" w:type="pct"/>
            <w:tcBorders>
              <w:top w:val="single" w:sz="6" w:space="0" w:color="auto"/>
              <w:left w:val="single" w:sz="6" w:space="0" w:color="auto"/>
              <w:bottom w:val="single" w:sz="6" w:space="0" w:color="auto"/>
              <w:right w:val="single" w:sz="6" w:space="0" w:color="auto"/>
            </w:tcBorders>
          </w:tcPr>
          <w:p w14:paraId="78D4313E"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lastRenderedPageBreak/>
              <w:t>2022</w:t>
            </w:r>
            <w:hyperlink r:id="rId4" w:history="1">
              <w:r>
                <w:rPr>
                  <w:rFonts w:ascii="Tms Rmn" w:hAnsi="Tms Rmn" w:cs="Tms Rmn"/>
                  <w:color w:val="000000"/>
                  <w:kern w:val="0"/>
                  <w:sz w:val="24"/>
                  <w:szCs w:val="24"/>
                </w:rPr>
                <w:t>[1]</w:t>
              </w:r>
            </w:hyperlink>
            <w:r>
              <w:rPr>
                <w:rFonts w:ascii="Tms Rmn" w:hAnsi="Tms Rmn" w:cs="Tms Rmn"/>
                <w:color w:val="000000"/>
                <w:kern w:val="0"/>
                <w:sz w:val="24"/>
                <w:szCs w:val="24"/>
              </w:rPr>
              <w:t xml:space="preserve"> </w:t>
            </w:r>
          </w:p>
        </w:tc>
        <w:tc>
          <w:tcPr>
            <w:tcW w:w="1250" w:type="pct"/>
            <w:tcBorders>
              <w:top w:val="single" w:sz="6" w:space="0" w:color="auto"/>
              <w:left w:val="single" w:sz="6" w:space="0" w:color="auto"/>
              <w:bottom w:val="single" w:sz="6" w:space="0" w:color="auto"/>
              <w:right w:val="single" w:sz="6" w:space="0" w:color="auto"/>
            </w:tcBorders>
          </w:tcPr>
          <w:p w14:paraId="7F7211F4"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Interdepartmental Group on Local Government </w:t>
            </w:r>
          </w:p>
        </w:tc>
        <w:tc>
          <w:tcPr>
            <w:tcW w:w="1250" w:type="pct"/>
            <w:tcBorders>
              <w:top w:val="single" w:sz="6" w:space="0" w:color="auto"/>
              <w:left w:val="single" w:sz="6" w:space="0" w:color="auto"/>
              <w:bottom w:val="single" w:sz="6" w:space="0" w:color="auto"/>
              <w:right w:val="single" w:sz="6" w:space="0" w:color="auto"/>
            </w:tcBorders>
          </w:tcPr>
          <w:p w14:paraId="5627B659"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A group to enhance engagement and build understanding between central and local government through the development of common frameworks</w:t>
            </w:r>
          </w:p>
        </w:tc>
        <w:tc>
          <w:tcPr>
            <w:tcW w:w="1250" w:type="pct"/>
            <w:tcBorders>
              <w:top w:val="single" w:sz="6" w:space="0" w:color="auto"/>
              <w:left w:val="single" w:sz="6" w:space="0" w:color="auto"/>
              <w:bottom w:val="single" w:sz="6" w:space="0" w:color="auto"/>
              <w:right w:val="single" w:sz="6" w:space="0" w:color="auto"/>
            </w:tcBorders>
          </w:tcPr>
          <w:p w14:paraId="4C8B6626"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Quarterly </w:t>
            </w:r>
          </w:p>
        </w:tc>
      </w:tr>
      <w:tr w:rsidR="00364043" w14:paraId="5BBD9C1E" w14:textId="77777777">
        <w:tc>
          <w:tcPr>
            <w:tcW w:w="1250" w:type="pct"/>
            <w:tcBorders>
              <w:top w:val="single" w:sz="6" w:space="0" w:color="auto"/>
              <w:left w:val="single" w:sz="6" w:space="0" w:color="auto"/>
              <w:bottom w:val="single" w:sz="6" w:space="0" w:color="auto"/>
              <w:right w:val="single" w:sz="6" w:space="0" w:color="auto"/>
            </w:tcBorders>
          </w:tcPr>
          <w:p w14:paraId="4EC3C66F"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2022 </w:t>
            </w:r>
          </w:p>
        </w:tc>
        <w:tc>
          <w:tcPr>
            <w:tcW w:w="1250" w:type="pct"/>
            <w:tcBorders>
              <w:top w:val="single" w:sz="6" w:space="0" w:color="auto"/>
              <w:left w:val="single" w:sz="6" w:space="0" w:color="auto"/>
              <w:bottom w:val="single" w:sz="6" w:space="0" w:color="auto"/>
              <w:right w:val="single" w:sz="6" w:space="0" w:color="auto"/>
            </w:tcBorders>
          </w:tcPr>
          <w:p w14:paraId="47A06358"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Destination Earth National Group </w:t>
            </w:r>
          </w:p>
        </w:tc>
        <w:tc>
          <w:tcPr>
            <w:tcW w:w="1250" w:type="pct"/>
            <w:tcBorders>
              <w:top w:val="single" w:sz="6" w:space="0" w:color="auto"/>
              <w:left w:val="single" w:sz="6" w:space="0" w:color="auto"/>
              <w:bottom w:val="single" w:sz="6" w:space="0" w:color="auto"/>
              <w:right w:val="single" w:sz="6" w:space="0" w:color="auto"/>
            </w:tcBorders>
          </w:tcPr>
          <w:p w14:paraId="6F100AB2"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A group to support Ireland’s engagement with Destination Earth, the European Commission’s flagship initiative under the Digital Europe Programme to develop a precision digital model of the Earth, enabling more sustainable development and supporting European emergency management and environmental policies</w:t>
            </w:r>
          </w:p>
        </w:tc>
        <w:tc>
          <w:tcPr>
            <w:tcW w:w="1250" w:type="pct"/>
            <w:tcBorders>
              <w:top w:val="single" w:sz="6" w:space="0" w:color="auto"/>
              <w:left w:val="single" w:sz="6" w:space="0" w:color="auto"/>
              <w:bottom w:val="single" w:sz="6" w:space="0" w:color="auto"/>
              <w:right w:val="single" w:sz="6" w:space="0" w:color="auto"/>
            </w:tcBorders>
          </w:tcPr>
          <w:p w14:paraId="557745CD"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Annually </w:t>
            </w:r>
          </w:p>
        </w:tc>
      </w:tr>
      <w:tr w:rsidR="00364043" w14:paraId="39E1CF0D" w14:textId="77777777">
        <w:tc>
          <w:tcPr>
            <w:tcW w:w="1250" w:type="pct"/>
            <w:tcBorders>
              <w:top w:val="single" w:sz="6" w:space="0" w:color="auto"/>
              <w:left w:val="single" w:sz="6" w:space="0" w:color="auto"/>
              <w:bottom w:val="single" w:sz="6" w:space="0" w:color="auto"/>
              <w:right w:val="single" w:sz="6" w:space="0" w:color="auto"/>
            </w:tcBorders>
          </w:tcPr>
          <w:p w14:paraId="141B1227"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2022 </w:t>
            </w:r>
          </w:p>
        </w:tc>
        <w:tc>
          <w:tcPr>
            <w:tcW w:w="1250" w:type="pct"/>
            <w:tcBorders>
              <w:top w:val="single" w:sz="6" w:space="0" w:color="auto"/>
              <w:left w:val="single" w:sz="6" w:space="0" w:color="auto"/>
              <w:bottom w:val="single" w:sz="6" w:space="0" w:color="auto"/>
              <w:right w:val="single" w:sz="6" w:space="0" w:color="auto"/>
            </w:tcBorders>
          </w:tcPr>
          <w:p w14:paraId="6D94212E"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National Framework for Climate Services Steering Committee </w:t>
            </w:r>
          </w:p>
        </w:tc>
        <w:tc>
          <w:tcPr>
            <w:tcW w:w="1250" w:type="pct"/>
            <w:tcBorders>
              <w:top w:val="single" w:sz="6" w:space="0" w:color="auto"/>
              <w:left w:val="single" w:sz="6" w:space="0" w:color="auto"/>
              <w:bottom w:val="single" w:sz="6" w:space="0" w:color="auto"/>
              <w:right w:val="single" w:sz="6" w:space="0" w:color="auto"/>
            </w:tcBorders>
          </w:tcPr>
          <w:p w14:paraId="66C9D8B2"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A committee to inform and steer the National Framework for Climate Services (NFCS)</w:t>
            </w:r>
          </w:p>
        </w:tc>
        <w:tc>
          <w:tcPr>
            <w:tcW w:w="1250" w:type="pct"/>
            <w:tcBorders>
              <w:top w:val="single" w:sz="6" w:space="0" w:color="auto"/>
              <w:left w:val="single" w:sz="6" w:space="0" w:color="auto"/>
              <w:bottom w:val="single" w:sz="6" w:space="0" w:color="auto"/>
              <w:right w:val="single" w:sz="6" w:space="0" w:color="auto"/>
            </w:tcBorders>
          </w:tcPr>
          <w:p w14:paraId="688B0F96"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Biannually </w:t>
            </w:r>
          </w:p>
        </w:tc>
      </w:tr>
      <w:tr w:rsidR="00364043" w14:paraId="73AED635" w14:textId="77777777">
        <w:tc>
          <w:tcPr>
            <w:tcW w:w="1250" w:type="pct"/>
            <w:tcBorders>
              <w:top w:val="single" w:sz="6" w:space="0" w:color="auto"/>
              <w:left w:val="single" w:sz="6" w:space="0" w:color="auto"/>
              <w:bottom w:val="single" w:sz="6" w:space="0" w:color="auto"/>
              <w:right w:val="single" w:sz="6" w:space="0" w:color="auto"/>
            </w:tcBorders>
          </w:tcPr>
          <w:p w14:paraId="26D0EC3B"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2021</w:t>
            </w:r>
          </w:p>
        </w:tc>
        <w:tc>
          <w:tcPr>
            <w:tcW w:w="1250" w:type="pct"/>
            <w:tcBorders>
              <w:top w:val="single" w:sz="6" w:space="0" w:color="auto"/>
              <w:left w:val="single" w:sz="6" w:space="0" w:color="auto"/>
              <w:bottom w:val="single" w:sz="6" w:space="0" w:color="auto"/>
              <w:right w:val="single" w:sz="6" w:space="0" w:color="auto"/>
            </w:tcBorders>
          </w:tcPr>
          <w:p w14:paraId="38036A5A"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Wild Atlantic Nature LIFE Integrated Project - Project Management Group</w:t>
            </w:r>
          </w:p>
        </w:tc>
        <w:tc>
          <w:tcPr>
            <w:tcW w:w="1250" w:type="pct"/>
            <w:tcBorders>
              <w:top w:val="single" w:sz="6" w:space="0" w:color="auto"/>
              <w:left w:val="single" w:sz="6" w:space="0" w:color="auto"/>
              <w:bottom w:val="single" w:sz="6" w:space="0" w:color="auto"/>
              <w:right w:val="single" w:sz="6" w:space="0" w:color="auto"/>
            </w:tcBorders>
          </w:tcPr>
          <w:p w14:paraId="7613CD24"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Overarching project governance group</w:t>
            </w:r>
          </w:p>
        </w:tc>
        <w:tc>
          <w:tcPr>
            <w:tcW w:w="1250" w:type="pct"/>
            <w:tcBorders>
              <w:top w:val="single" w:sz="6" w:space="0" w:color="auto"/>
              <w:left w:val="single" w:sz="6" w:space="0" w:color="auto"/>
              <w:bottom w:val="single" w:sz="6" w:space="0" w:color="auto"/>
              <w:right w:val="single" w:sz="6" w:space="0" w:color="auto"/>
            </w:tcBorders>
          </w:tcPr>
          <w:p w14:paraId="70B1E519"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Quarterly</w:t>
            </w:r>
          </w:p>
        </w:tc>
      </w:tr>
      <w:tr w:rsidR="00364043" w14:paraId="684E38B7" w14:textId="77777777">
        <w:tc>
          <w:tcPr>
            <w:tcW w:w="1250" w:type="pct"/>
            <w:tcBorders>
              <w:top w:val="single" w:sz="6" w:space="0" w:color="auto"/>
              <w:left w:val="single" w:sz="6" w:space="0" w:color="auto"/>
              <w:bottom w:val="single" w:sz="6" w:space="0" w:color="auto"/>
              <w:right w:val="single" w:sz="6" w:space="0" w:color="auto"/>
            </w:tcBorders>
          </w:tcPr>
          <w:p w14:paraId="155C9F46"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2021</w:t>
            </w:r>
          </w:p>
        </w:tc>
        <w:tc>
          <w:tcPr>
            <w:tcW w:w="1250" w:type="pct"/>
            <w:tcBorders>
              <w:top w:val="single" w:sz="6" w:space="0" w:color="auto"/>
              <w:left w:val="single" w:sz="6" w:space="0" w:color="auto"/>
              <w:bottom w:val="single" w:sz="6" w:space="0" w:color="auto"/>
              <w:right w:val="single" w:sz="6" w:space="0" w:color="auto"/>
            </w:tcBorders>
          </w:tcPr>
          <w:p w14:paraId="1D570930"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Wild Atlantic Nature LIFE Integrated Project - Project Advisory Group</w:t>
            </w:r>
          </w:p>
        </w:tc>
        <w:tc>
          <w:tcPr>
            <w:tcW w:w="1250" w:type="pct"/>
            <w:tcBorders>
              <w:top w:val="single" w:sz="6" w:space="0" w:color="auto"/>
              <w:left w:val="single" w:sz="6" w:space="0" w:color="auto"/>
              <w:bottom w:val="single" w:sz="6" w:space="0" w:color="auto"/>
              <w:right w:val="single" w:sz="6" w:space="0" w:color="auto"/>
            </w:tcBorders>
          </w:tcPr>
          <w:p w14:paraId="2F08383A"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A group to discuss land use, agriculture and rural affairs relevant to the project</w:t>
            </w:r>
          </w:p>
        </w:tc>
        <w:tc>
          <w:tcPr>
            <w:tcW w:w="1250" w:type="pct"/>
            <w:tcBorders>
              <w:top w:val="single" w:sz="6" w:space="0" w:color="auto"/>
              <w:left w:val="single" w:sz="6" w:space="0" w:color="auto"/>
              <w:bottom w:val="single" w:sz="6" w:space="0" w:color="auto"/>
              <w:right w:val="single" w:sz="6" w:space="0" w:color="auto"/>
            </w:tcBorders>
          </w:tcPr>
          <w:p w14:paraId="6961CEFA"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Annually</w:t>
            </w:r>
          </w:p>
        </w:tc>
      </w:tr>
      <w:tr w:rsidR="00364043" w14:paraId="2A3CD7EA" w14:textId="77777777">
        <w:tc>
          <w:tcPr>
            <w:tcW w:w="1250" w:type="pct"/>
            <w:tcBorders>
              <w:top w:val="single" w:sz="6" w:space="0" w:color="auto"/>
              <w:left w:val="single" w:sz="6" w:space="0" w:color="auto"/>
              <w:bottom w:val="single" w:sz="6" w:space="0" w:color="auto"/>
              <w:right w:val="single" w:sz="6" w:space="0" w:color="auto"/>
            </w:tcBorders>
          </w:tcPr>
          <w:p w14:paraId="1BE2B3E7"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2021</w:t>
            </w:r>
          </w:p>
        </w:tc>
        <w:tc>
          <w:tcPr>
            <w:tcW w:w="1250" w:type="pct"/>
            <w:tcBorders>
              <w:top w:val="single" w:sz="6" w:space="0" w:color="auto"/>
              <w:left w:val="single" w:sz="6" w:space="0" w:color="auto"/>
              <w:bottom w:val="single" w:sz="6" w:space="0" w:color="auto"/>
              <w:right w:val="single" w:sz="6" w:space="0" w:color="auto"/>
            </w:tcBorders>
          </w:tcPr>
          <w:p w14:paraId="631C5C37"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Corncrake LIFE Project Steering Group</w:t>
            </w:r>
          </w:p>
        </w:tc>
        <w:tc>
          <w:tcPr>
            <w:tcW w:w="1250" w:type="pct"/>
            <w:tcBorders>
              <w:top w:val="single" w:sz="6" w:space="0" w:color="auto"/>
              <w:left w:val="single" w:sz="6" w:space="0" w:color="auto"/>
              <w:bottom w:val="single" w:sz="6" w:space="0" w:color="auto"/>
              <w:right w:val="single" w:sz="6" w:space="0" w:color="auto"/>
            </w:tcBorders>
          </w:tcPr>
          <w:p w14:paraId="520A85C4"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Project oversight of, and input into, the delivery of the Corncrake LIFE project</w:t>
            </w:r>
          </w:p>
        </w:tc>
        <w:tc>
          <w:tcPr>
            <w:tcW w:w="1250" w:type="pct"/>
            <w:tcBorders>
              <w:top w:val="single" w:sz="6" w:space="0" w:color="auto"/>
              <w:left w:val="single" w:sz="6" w:space="0" w:color="auto"/>
              <w:bottom w:val="single" w:sz="6" w:space="0" w:color="auto"/>
              <w:right w:val="single" w:sz="6" w:space="0" w:color="auto"/>
            </w:tcBorders>
          </w:tcPr>
          <w:p w14:paraId="78BA9D98"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Quarterly</w:t>
            </w:r>
          </w:p>
        </w:tc>
      </w:tr>
      <w:tr w:rsidR="00364043" w14:paraId="614006C8" w14:textId="77777777">
        <w:tc>
          <w:tcPr>
            <w:tcW w:w="1250" w:type="pct"/>
            <w:tcBorders>
              <w:top w:val="single" w:sz="6" w:space="0" w:color="auto"/>
              <w:left w:val="single" w:sz="6" w:space="0" w:color="auto"/>
              <w:bottom w:val="single" w:sz="6" w:space="0" w:color="auto"/>
              <w:right w:val="single" w:sz="6" w:space="0" w:color="auto"/>
            </w:tcBorders>
          </w:tcPr>
          <w:p w14:paraId="7B34040C"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lastRenderedPageBreak/>
              <w:t xml:space="preserve">2021 </w:t>
            </w:r>
          </w:p>
        </w:tc>
        <w:tc>
          <w:tcPr>
            <w:tcW w:w="1250" w:type="pct"/>
            <w:tcBorders>
              <w:top w:val="single" w:sz="6" w:space="0" w:color="auto"/>
              <w:left w:val="single" w:sz="6" w:space="0" w:color="auto"/>
              <w:bottom w:val="single" w:sz="6" w:space="0" w:color="auto"/>
              <w:right w:val="single" w:sz="6" w:space="0" w:color="auto"/>
            </w:tcBorders>
          </w:tcPr>
          <w:p w14:paraId="158C2A9C"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Working Group on Actions Involving Local Authorities in Response to the Final Report on the Commission of Investigation (Mother and Baby Homes and Certain Related Matters)</w:t>
            </w:r>
          </w:p>
        </w:tc>
        <w:tc>
          <w:tcPr>
            <w:tcW w:w="1250" w:type="pct"/>
            <w:tcBorders>
              <w:top w:val="single" w:sz="6" w:space="0" w:color="auto"/>
              <w:left w:val="single" w:sz="6" w:space="0" w:color="auto"/>
              <w:bottom w:val="single" w:sz="6" w:space="0" w:color="auto"/>
              <w:right w:val="single" w:sz="6" w:space="0" w:color="auto"/>
            </w:tcBorders>
          </w:tcPr>
          <w:p w14:paraId="3D4B6C07"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A group to progress actions from the report relating to local authorities </w:t>
            </w:r>
          </w:p>
        </w:tc>
        <w:tc>
          <w:tcPr>
            <w:tcW w:w="1250" w:type="pct"/>
            <w:tcBorders>
              <w:top w:val="single" w:sz="6" w:space="0" w:color="auto"/>
              <w:left w:val="single" w:sz="6" w:space="0" w:color="auto"/>
              <w:bottom w:val="single" w:sz="6" w:space="0" w:color="auto"/>
              <w:right w:val="single" w:sz="6" w:space="0" w:color="auto"/>
            </w:tcBorders>
          </w:tcPr>
          <w:p w14:paraId="117C1BB7"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 </w:t>
            </w:r>
            <w:r>
              <w:rPr>
                <w:rFonts w:ascii="Tms Rmn" w:hAnsi="Tms Rmn" w:cs="Tms Rmn"/>
                <w:color w:val="000000"/>
                <w:kern w:val="0"/>
                <w:sz w:val="24"/>
                <w:szCs w:val="24"/>
              </w:rPr>
              <w:br/>
              <w:t xml:space="preserve">As Required </w:t>
            </w:r>
          </w:p>
        </w:tc>
      </w:tr>
      <w:tr w:rsidR="00364043" w14:paraId="55DE7FD4" w14:textId="77777777">
        <w:tc>
          <w:tcPr>
            <w:tcW w:w="1250" w:type="pct"/>
            <w:tcBorders>
              <w:top w:val="single" w:sz="6" w:space="0" w:color="auto"/>
              <w:left w:val="single" w:sz="6" w:space="0" w:color="auto"/>
              <w:bottom w:val="single" w:sz="6" w:space="0" w:color="auto"/>
              <w:right w:val="single" w:sz="6" w:space="0" w:color="auto"/>
            </w:tcBorders>
          </w:tcPr>
          <w:p w14:paraId="7051158C"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2021 </w:t>
            </w:r>
          </w:p>
        </w:tc>
        <w:tc>
          <w:tcPr>
            <w:tcW w:w="1250" w:type="pct"/>
            <w:tcBorders>
              <w:top w:val="single" w:sz="6" w:space="0" w:color="auto"/>
              <w:left w:val="single" w:sz="6" w:space="0" w:color="auto"/>
              <w:bottom w:val="single" w:sz="6" w:space="0" w:color="auto"/>
              <w:right w:val="single" w:sz="6" w:space="0" w:color="auto"/>
            </w:tcBorders>
          </w:tcPr>
          <w:p w14:paraId="71B49577"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Housing for All, Transport Orientated Development Working Group </w:t>
            </w:r>
          </w:p>
        </w:tc>
        <w:tc>
          <w:tcPr>
            <w:tcW w:w="1250" w:type="pct"/>
            <w:tcBorders>
              <w:top w:val="single" w:sz="6" w:space="0" w:color="auto"/>
              <w:left w:val="single" w:sz="6" w:space="0" w:color="auto"/>
              <w:bottom w:val="single" w:sz="6" w:space="0" w:color="auto"/>
              <w:right w:val="single" w:sz="6" w:space="0" w:color="auto"/>
            </w:tcBorders>
          </w:tcPr>
          <w:p w14:paraId="37D6EEF1"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A group to consider opportunities for Transport Orientated Development (TOD) in major urban centres </w:t>
            </w:r>
          </w:p>
        </w:tc>
        <w:tc>
          <w:tcPr>
            <w:tcW w:w="1250" w:type="pct"/>
            <w:tcBorders>
              <w:top w:val="single" w:sz="6" w:space="0" w:color="auto"/>
              <w:left w:val="single" w:sz="6" w:space="0" w:color="auto"/>
              <w:bottom w:val="single" w:sz="6" w:space="0" w:color="auto"/>
              <w:right w:val="single" w:sz="6" w:space="0" w:color="auto"/>
            </w:tcBorders>
          </w:tcPr>
          <w:p w14:paraId="4B995F01"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As Required </w:t>
            </w:r>
          </w:p>
        </w:tc>
      </w:tr>
      <w:tr w:rsidR="00364043" w14:paraId="6C13D95A" w14:textId="77777777">
        <w:tc>
          <w:tcPr>
            <w:tcW w:w="1250" w:type="pct"/>
            <w:tcBorders>
              <w:top w:val="single" w:sz="6" w:space="0" w:color="auto"/>
              <w:left w:val="single" w:sz="6" w:space="0" w:color="auto"/>
              <w:bottom w:val="single" w:sz="6" w:space="0" w:color="auto"/>
              <w:right w:val="single" w:sz="6" w:space="0" w:color="auto"/>
            </w:tcBorders>
          </w:tcPr>
          <w:p w14:paraId="53DAD962"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2019 </w:t>
            </w:r>
          </w:p>
        </w:tc>
        <w:tc>
          <w:tcPr>
            <w:tcW w:w="1250" w:type="pct"/>
            <w:tcBorders>
              <w:top w:val="single" w:sz="6" w:space="0" w:color="auto"/>
              <w:left w:val="single" w:sz="6" w:space="0" w:color="auto"/>
              <w:bottom w:val="single" w:sz="6" w:space="0" w:color="auto"/>
              <w:right w:val="single" w:sz="6" w:space="0" w:color="auto"/>
            </w:tcBorders>
          </w:tcPr>
          <w:p w14:paraId="0DD257A0"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Project </w:t>
            </w:r>
            <w:proofErr w:type="spellStart"/>
            <w:r>
              <w:rPr>
                <w:rFonts w:ascii="Tms Rmn" w:hAnsi="Tms Rmn" w:cs="Tms Rmn"/>
                <w:color w:val="000000"/>
                <w:kern w:val="0"/>
                <w:sz w:val="24"/>
                <w:szCs w:val="24"/>
              </w:rPr>
              <w:t>Díon</w:t>
            </w:r>
            <w:proofErr w:type="spellEnd"/>
            <w:r>
              <w:rPr>
                <w:rFonts w:ascii="Tms Rmn" w:hAnsi="Tms Rmn" w:cs="Tms Rmn"/>
                <w:color w:val="000000"/>
                <w:kern w:val="0"/>
                <w:sz w:val="24"/>
                <w:szCs w:val="24"/>
              </w:rPr>
              <w:t xml:space="preserve"> Project Board </w:t>
            </w:r>
          </w:p>
        </w:tc>
        <w:tc>
          <w:tcPr>
            <w:tcW w:w="1250" w:type="pct"/>
            <w:tcBorders>
              <w:top w:val="single" w:sz="6" w:space="0" w:color="auto"/>
              <w:left w:val="single" w:sz="6" w:space="0" w:color="auto"/>
              <w:bottom w:val="single" w:sz="6" w:space="0" w:color="auto"/>
              <w:right w:val="single" w:sz="6" w:space="0" w:color="auto"/>
            </w:tcBorders>
          </w:tcPr>
          <w:p w14:paraId="5978527D"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A high-level oversight group for Housing ICT project</w:t>
            </w:r>
          </w:p>
        </w:tc>
        <w:tc>
          <w:tcPr>
            <w:tcW w:w="1250" w:type="pct"/>
            <w:tcBorders>
              <w:top w:val="single" w:sz="6" w:space="0" w:color="auto"/>
              <w:left w:val="single" w:sz="6" w:space="0" w:color="auto"/>
              <w:bottom w:val="single" w:sz="6" w:space="0" w:color="auto"/>
              <w:right w:val="single" w:sz="6" w:space="0" w:color="auto"/>
            </w:tcBorders>
          </w:tcPr>
          <w:p w14:paraId="78017C8B"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Quarterly </w:t>
            </w:r>
          </w:p>
        </w:tc>
      </w:tr>
      <w:tr w:rsidR="00364043" w14:paraId="0437F977" w14:textId="77777777">
        <w:tc>
          <w:tcPr>
            <w:tcW w:w="1250" w:type="pct"/>
            <w:tcBorders>
              <w:top w:val="single" w:sz="6" w:space="0" w:color="auto"/>
              <w:left w:val="single" w:sz="6" w:space="0" w:color="auto"/>
              <w:bottom w:val="single" w:sz="6" w:space="0" w:color="auto"/>
              <w:right w:val="single" w:sz="6" w:space="0" w:color="auto"/>
            </w:tcBorders>
          </w:tcPr>
          <w:p w14:paraId="50865173"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2019 </w:t>
            </w:r>
          </w:p>
        </w:tc>
        <w:tc>
          <w:tcPr>
            <w:tcW w:w="1250" w:type="pct"/>
            <w:tcBorders>
              <w:top w:val="single" w:sz="6" w:space="0" w:color="auto"/>
              <w:left w:val="single" w:sz="6" w:space="0" w:color="auto"/>
              <w:bottom w:val="single" w:sz="6" w:space="0" w:color="auto"/>
              <w:right w:val="single" w:sz="6" w:space="0" w:color="auto"/>
            </w:tcBorders>
          </w:tcPr>
          <w:p w14:paraId="4BEF7714"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National Appropriate Assessment Forum </w:t>
            </w:r>
          </w:p>
        </w:tc>
        <w:tc>
          <w:tcPr>
            <w:tcW w:w="1250" w:type="pct"/>
            <w:tcBorders>
              <w:top w:val="single" w:sz="6" w:space="0" w:color="auto"/>
              <w:left w:val="single" w:sz="6" w:space="0" w:color="auto"/>
              <w:bottom w:val="single" w:sz="6" w:space="0" w:color="auto"/>
              <w:right w:val="single" w:sz="6" w:space="0" w:color="auto"/>
            </w:tcBorders>
          </w:tcPr>
          <w:p w14:paraId="3CB80CFD"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The Appropriate Assessment Forum brings together the Government Departments, public authorities and agencies which play a key role in implementing the Nature Directives – the Habitats Directive (92/43/EEC) and the Birds Directive (2009/147/EC), in Ireland.  </w:t>
            </w:r>
          </w:p>
        </w:tc>
        <w:tc>
          <w:tcPr>
            <w:tcW w:w="1250" w:type="pct"/>
            <w:tcBorders>
              <w:top w:val="single" w:sz="6" w:space="0" w:color="auto"/>
              <w:left w:val="single" w:sz="6" w:space="0" w:color="auto"/>
              <w:bottom w:val="single" w:sz="6" w:space="0" w:color="auto"/>
              <w:right w:val="single" w:sz="6" w:space="0" w:color="auto"/>
            </w:tcBorders>
          </w:tcPr>
          <w:p w14:paraId="7BD70DC3"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Biannually </w:t>
            </w:r>
          </w:p>
        </w:tc>
      </w:tr>
      <w:tr w:rsidR="00364043" w14:paraId="12BB7F73" w14:textId="77777777">
        <w:tc>
          <w:tcPr>
            <w:tcW w:w="1250" w:type="pct"/>
            <w:tcBorders>
              <w:top w:val="single" w:sz="6" w:space="0" w:color="auto"/>
              <w:left w:val="single" w:sz="6" w:space="0" w:color="auto"/>
              <w:bottom w:val="single" w:sz="6" w:space="0" w:color="auto"/>
              <w:right w:val="single" w:sz="6" w:space="0" w:color="auto"/>
            </w:tcBorders>
          </w:tcPr>
          <w:p w14:paraId="7269F503"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2019 </w:t>
            </w:r>
          </w:p>
        </w:tc>
        <w:tc>
          <w:tcPr>
            <w:tcW w:w="1250" w:type="pct"/>
            <w:tcBorders>
              <w:top w:val="single" w:sz="6" w:space="0" w:color="auto"/>
              <w:left w:val="single" w:sz="6" w:space="0" w:color="auto"/>
              <w:bottom w:val="single" w:sz="6" w:space="0" w:color="auto"/>
              <w:right w:val="single" w:sz="6" w:space="0" w:color="auto"/>
            </w:tcBorders>
          </w:tcPr>
          <w:p w14:paraId="65E9696D"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Code of Governance Advisory Group</w:t>
            </w:r>
          </w:p>
        </w:tc>
        <w:tc>
          <w:tcPr>
            <w:tcW w:w="1250" w:type="pct"/>
            <w:tcBorders>
              <w:top w:val="single" w:sz="6" w:space="0" w:color="auto"/>
              <w:left w:val="single" w:sz="6" w:space="0" w:color="auto"/>
              <w:bottom w:val="single" w:sz="6" w:space="0" w:color="auto"/>
              <w:right w:val="single" w:sz="6" w:space="0" w:color="auto"/>
            </w:tcBorders>
          </w:tcPr>
          <w:p w14:paraId="467E65D2"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A group to oversee the development and implementation of the Local Government Code of Governance </w:t>
            </w:r>
          </w:p>
        </w:tc>
        <w:tc>
          <w:tcPr>
            <w:tcW w:w="1250" w:type="pct"/>
            <w:tcBorders>
              <w:top w:val="single" w:sz="6" w:space="0" w:color="auto"/>
              <w:left w:val="single" w:sz="6" w:space="0" w:color="auto"/>
              <w:bottom w:val="single" w:sz="6" w:space="0" w:color="auto"/>
              <w:right w:val="single" w:sz="6" w:space="0" w:color="auto"/>
            </w:tcBorders>
          </w:tcPr>
          <w:p w14:paraId="7A15005A"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Quarterly</w:t>
            </w:r>
          </w:p>
        </w:tc>
      </w:tr>
      <w:tr w:rsidR="00364043" w14:paraId="5331381F" w14:textId="77777777">
        <w:tc>
          <w:tcPr>
            <w:tcW w:w="1250" w:type="pct"/>
            <w:tcBorders>
              <w:top w:val="single" w:sz="6" w:space="0" w:color="auto"/>
              <w:left w:val="single" w:sz="6" w:space="0" w:color="auto"/>
              <w:bottom w:val="single" w:sz="6" w:space="0" w:color="auto"/>
              <w:right w:val="single" w:sz="6" w:space="0" w:color="auto"/>
            </w:tcBorders>
          </w:tcPr>
          <w:p w14:paraId="3E1510E8"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2018 </w:t>
            </w:r>
          </w:p>
        </w:tc>
        <w:tc>
          <w:tcPr>
            <w:tcW w:w="1250" w:type="pct"/>
            <w:tcBorders>
              <w:top w:val="single" w:sz="6" w:space="0" w:color="auto"/>
              <w:left w:val="single" w:sz="6" w:space="0" w:color="auto"/>
              <w:bottom w:val="single" w:sz="6" w:space="0" w:color="auto"/>
              <w:right w:val="single" w:sz="6" w:space="0" w:color="auto"/>
            </w:tcBorders>
          </w:tcPr>
          <w:p w14:paraId="49365B9D"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Rural Water Working Group </w:t>
            </w:r>
          </w:p>
        </w:tc>
        <w:tc>
          <w:tcPr>
            <w:tcW w:w="1250" w:type="pct"/>
            <w:tcBorders>
              <w:top w:val="single" w:sz="6" w:space="0" w:color="auto"/>
              <w:left w:val="single" w:sz="6" w:space="0" w:color="auto"/>
              <w:bottom w:val="single" w:sz="6" w:space="0" w:color="auto"/>
              <w:right w:val="single" w:sz="6" w:space="0" w:color="auto"/>
            </w:tcBorders>
          </w:tcPr>
          <w:p w14:paraId="45656CE1"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A group to advise on rural water national policy formulation</w:t>
            </w:r>
          </w:p>
        </w:tc>
        <w:tc>
          <w:tcPr>
            <w:tcW w:w="1250" w:type="pct"/>
            <w:tcBorders>
              <w:top w:val="single" w:sz="6" w:space="0" w:color="auto"/>
              <w:left w:val="single" w:sz="6" w:space="0" w:color="auto"/>
              <w:bottom w:val="single" w:sz="6" w:space="0" w:color="auto"/>
              <w:right w:val="single" w:sz="6" w:space="0" w:color="auto"/>
            </w:tcBorders>
          </w:tcPr>
          <w:p w14:paraId="5F0EBB38"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Quarterly </w:t>
            </w:r>
          </w:p>
        </w:tc>
      </w:tr>
      <w:tr w:rsidR="00364043" w14:paraId="6E5B3598" w14:textId="77777777">
        <w:tc>
          <w:tcPr>
            <w:tcW w:w="1250" w:type="pct"/>
            <w:tcBorders>
              <w:top w:val="single" w:sz="6" w:space="0" w:color="auto"/>
              <w:left w:val="single" w:sz="6" w:space="0" w:color="auto"/>
              <w:bottom w:val="single" w:sz="6" w:space="0" w:color="auto"/>
              <w:right w:val="single" w:sz="6" w:space="0" w:color="auto"/>
            </w:tcBorders>
          </w:tcPr>
          <w:p w14:paraId="2242E2DE"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2017 </w:t>
            </w:r>
          </w:p>
        </w:tc>
        <w:tc>
          <w:tcPr>
            <w:tcW w:w="1250" w:type="pct"/>
            <w:tcBorders>
              <w:top w:val="single" w:sz="6" w:space="0" w:color="auto"/>
              <w:left w:val="single" w:sz="6" w:space="0" w:color="auto"/>
              <w:bottom w:val="single" w:sz="6" w:space="0" w:color="auto"/>
              <w:right w:val="single" w:sz="6" w:space="0" w:color="auto"/>
            </w:tcBorders>
          </w:tcPr>
          <w:p w14:paraId="7B061DCF"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Rental Standards Working Group </w:t>
            </w:r>
          </w:p>
        </w:tc>
        <w:tc>
          <w:tcPr>
            <w:tcW w:w="1250" w:type="pct"/>
            <w:tcBorders>
              <w:top w:val="single" w:sz="6" w:space="0" w:color="auto"/>
              <w:left w:val="single" w:sz="6" w:space="0" w:color="auto"/>
              <w:bottom w:val="single" w:sz="6" w:space="0" w:color="auto"/>
              <w:right w:val="single" w:sz="6" w:space="0" w:color="auto"/>
            </w:tcBorders>
          </w:tcPr>
          <w:p w14:paraId="34B2931F"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A group to ensure that a stock of </w:t>
            </w:r>
            <w:proofErr w:type="gramStart"/>
            <w:r>
              <w:rPr>
                <w:rFonts w:ascii="Tms Rmn" w:hAnsi="Tms Rmn" w:cs="Tms Rmn"/>
                <w:color w:val="000000"/>
                <w:kern w:val="0"/>
                <w:sz w:val="24"/>
                <w:szCs w:val="24"/>
              </w:rPr>
              <w:t>high quality</w:t>
            </w:r>
            <w:proofErr w:type="gramEnd"/>
            <w:r>
              <w:rPr>
                <w:rFonts w:ascii="Tms Rmn" w:hAnsi="Tms Rmn" w:cs="Tms Rmn"/>
                <w:color w:val="000000"/>
                <w:kern w:val="0"/>
                <w:sz w:val="24"/>
                <w:szCs w:val="24"/>
              </w:rPr>
              <w:t xml:space="preserve"> accommodation is available for those who live in the private rented sector</w:t>
            </w:r>
          </w:p>
        </w:tc>
        <w:tc>
          <w:tcPr>
            <w:tcW w:w="1250" w:type="pct"/>
            <w:tcBorders>
              <w:top w:val="single" w:sz="6" w:space="0" w:color="auto"/>
              <w:left w:val="single" w:sz="6" w:space="0" w:color="auto"/>
              <w:bottom w:val="single" w:sz="6" w:space="0" w:color="auto"/>
              <w:right w:val="single" w:sz="6" w:space="0" w:color="auto"/>
            </w:tcBorders>
          </w:tcPr>
          <w:p w14:paraId="41C2EF18"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6 Meetings Per Annum </w:t>
            </w:r>
          </w:p>
        </w:tc>
      </w:tr>
      <w:tr w:rsidR="00364043" w14:paraId="6B590385" w14:textId="77777777">
        <w:tc>
          <w:tcPr>
            <w:tcW w:w="1250" w:type="pct"/>
            <w:tcBorders>
              <w:top w:val="single" w:sz="6" w:space="0" w:color="auto"/>
              <w:left w:val="single" w:sz="6" w:space="0" w:color="auto"/>
              <w:bottom w:val="single" w:sz="6" w:space="0" w:color="auto"/>
              <w:right w:val="single" w:sz="6" w:space="0" w:color="auto"/>
            </w:tcBorders>
          </w:tcPr>
          <w:p w14:paraId="3C240C2B"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lastRenderedPageBreak/>
              <w:t xml:space="preserve">2017 </w:t>
            </w:r>
          </w:p>
        </w:tc>
        <w:tc>
          <w:tcPr>
            <w:tcW w:w="1250" w:type="pct"/>
            <w:tcBorders>
              <w:top w:val="single" w:sz="6" w:space="0" w:color="auto"/>
              <w:left w:val="single" w:sz="6" w:space="0" w:color="auto"/>
              <w:bottom w:val="single" w:sz="6" w:space="0" w:color="auto"/>
              <w:right w:val="single" w:sz="6" w:space="0" w:color="auto"/>
            </w:tcBorders>
          </w:tcPr>
          <w:p w14:paraId="4DF3A284"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Joint Research Programme on Housing Economics and Spatial Planning</w:t>
            </w:r>
            <w:r>
              <w:rPr>
                <w:rFonts w:ascii="Tms Rmn" w:hAnsi="Tms Rmn" w:cs="Tms Rmn"/>
                <w:color w:val="000000"/>
                <w:kern w:val="0"/>
                <w:sz w:val="24"/>
                <w:szCs w:val="24"/>
              </w:rPr>
              <w:br/>
              <w:t xml:space="preserve">Steering Committee </w:t>
            </w:r>
          </w:p>
        </w:tc>
        <w:tc>
          <w:tcPr>
            <w:tcW w:w="1250" w:type="pct"/>
            <w:tcBorders>
              <w:top w:val="single" w:sz="6" w:space="0" w:color="auto"/>
              <w:left w:val="single" w:sz="6" w:space="0" w:color="auto"/>
              <w:bottom w:val="single" w:sz="6" w:space="0" w:color="auto"/>
              <w:right w:val="single" w:sz="6" w:space="0" w:color="auto"/>
            </w:tcBorders>
          </w:tcPr>
          <w:p w14:paraId="16AE7414"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Provides high-level oversight and governance of the joint research programme </w:t>
            </w:r>
          </w:p>
        </w:tc>
        <w:tc>
          <w:tcPr>
            <w:tcW w:w="1250" w:type="pct"/>
            <w:tcBorders>
              <w:top w:val="single" w:sz="6" w:space="0" w:color="auto"/>
              <w:left w:val="single" w:sz="6" w:space="0" w:color="auto"/>
              <w:bottom w:val="single" w:sz="6" w:space="0" w:color="auto"/>
              <w:right w:val="single" w:sz="6" w:space="0" w:color="auto"/>
            </w:tcBorders>
          </w:tcPr>
          <w:p w14:paraId="3DA7D9BD"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Quarterly </w:t>
            </w:r>
          </w:p>
        </w:tc>
      </w:tr>
      <w:tr w:rsidR="00364043" w14:paraId="46F1B72E" w14:textId="77777777">
        <w:tc>
          <w:tcPr>
            <w:tcW w:w="1250" w:type="pct"/>
            <w:tcBorders>
              <w:top w:val="single" w:sz="6" w:space="0" w:color="auto"/>
              <w:left w:val="single" w:sz="6" w:space="0" w:color="auto"/>
              <w:bottom w:val="single" w:sz="6" w:space="0" w:color="auto"/>
              <w:right w:val="single" w:sz="6" w:space="0" w:color="auto"/>
            </w:tcBorders>
          </w:tcPr>
          <w:p w14:paraId="50E8F9AE"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2017 </w:t>
            </w:r>
          </w:p>
        </w:tc>
        <w:tc>
          <w:tcPr>
            <w:tcW w:w="1250" w:type="pct"/>
            <w:tcBorders>
              <w:top w:val="single" w:sz="6" w:space="0" w:color="auto"/>
              <w:left w:val="single" w:sz="6" w:space="0" w:color="auto"/>
              <w:bottom w:val="single" w:sz="6" w:space="0" w:color="auto"/>
              <w:right w:val="single" w:sz="6" w:space="0" w:color="auto"/>
            </w:tcBorders>
          </w:tcPr>
          <w:p w14:paraId="14BF6580"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National Co-ordination Management Committee </w:t>
            </w:r>
          </w:p>
        </w:tc>
        <w:tc>
          <w:tcPr>
            <w:tcW w:w="1250" w:type="pct"/>
            <w:tcBorders>
              <w:top w:val="single" w:sz="6" w:space="0" w:color="auto"/>
              <w:left w:val="single" w:sz="6" w:space="0" w:color="auto"/>
              <w:bottom w:val="single" w:sz="6" w:space="0" w:color="auto"/>
              <w:right w:val="single" w:sz="6" w:space="0" w:color="auto"/>
            </w:tcBorders>
          </w:tcPr>
          <w:p w14:paraId="0DA59873"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A committee to ensure the effective oversight, management and delivery of River Basin Management Plans (RBMPs)</w:t>
            </w:r>
          </w:p>
        </w:tc>
        <w:tc>
          <w:tcPr>
            <w:tcW w:w="1250" w:type="pct"/>
            <w:tcBorders>
              <w:top w:val="single" w:sz="6" w:space="0" w:color="auto"/>
              <w:left w:val="single" w:sz="6" w:space="0" w:color="auto"/>
              <w:bottom w:val="single" w:sz="6" w:space="0" w:color="auto"/>
              <w:right w:val="single" w:sz="6" w:space="0" w:color="auto"/>
            </w:tcBorders>
          </w:tcPr>
          <w:p w14:paraId="24D6290E"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Quarterly </w:t>
            </w:r>
          </w:p>
        </w:tc>
      </w:tr>
      <w:tr w:rsidR="00364043" w14:paraId="7F58B14C" w14:textId="77777777">
        <w:tc>
          <w:tcPr>
            <w:tcW w:w="1250" w:type="pct"/>
            <w:tcBorders>
              <w:top w:val="single" w:sz="6" w:space="0" w:color="auto"/>
              <w:left w:val="single" w:sz="6" w:space="0" w:color="auto"/>
              <w:bottom w:val="single" w:sz="6" w:space="0" w:color="auto"/>
              <w:right w:val="single" w:sz="6" w:space="0" w:color="auto"/>
            </w:tcBorders>
          </w:tcPr>
          <w:p w14:paraId="420D4949"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2016 </w:t>
            </w:r>
          </w:p>
        </w:tc>
        <w:tc>
          <w:tcPr>
            <w:tcW w:w="1250" w:type="pct"/>
            <w:tcBorders>
              <w:top w:val="single" w:sz="6" w:space="0" w:color="auto"/>
              <w:left w:val="single" w:sz="6" w:space="0" w:color="auto"/>
              <w:bottom w:val="single" w:sz="6" w:space="0" w:color="auto"/>
              <w:right w:val="single" w:sz="6" w:space="0" w:color="auto"/>
            </w:tcBorders>
          </w:tcPr>
          <w:p w14:paraId="12C14CBD"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Rates Implementation Group </w:t>
            </w:r>
          </w:p>
        </w:tc>
        <w:tc>
          <w:tcPr>
            <w:tcW w:w="1250" w:type="pct"/>
            <w:tcBorders>
              <w:top w:val="single" w:sz="6" w:space="0" w:color="auto"/>
              <w:left w:val="single" w:sz="6" w:space="0" w:color="auto"/>
              <w:bottom w:val="single" w:sz="6" w:space="0" w:color="auto"/>
              <w:right w:val="single" w:sz="6" w:space="0" w:color="auto"/>
            </w:tcBorders>
          </w:tcPr>
          <w:p w14:paraId="1CA9B29F"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An advisory and discussion forum for consultation on local authority rates administration and policy matters for the sector and my </w:t>
            </w:r>
            <w:proofErr w:type="gramStart"/>
            <w:r>
              <w:rPr>
                <w:rFonts w:ascii="Tms Rmn" w:hAnsi="Tms Rmn" w:cs="Tms Rmn"/>
                <w:color w:val="000000"/>
                <w:kern w:val="0"/>
                <w:sz w:val="24"/>
                <w:szCs w:val="24"/>
              </w:rPr>
              <w:t>Department</w:t>
            </w:r>
            <w:proofErr w:type="gramEnd"/>
          </w:p>
        </w:tc>
        <w:tc>
          <w:tcPr>
            <w:tcW w:w="1250" w:type="pct"/>
            <w:tcBorders>
              <w:top w:val="single" w:sz="6" w:space="0" w:color="auto"/>
              <w:left w:val="single" w:sz="6" w:space="0" w:color="auto"/>
              <w:bottom w:val="single" w:sz="6" w:space="0" w:color="auto"/>
              <w:right w:val="single" w:sz="6" w:space="0" w:color="auto"/>
            </w:tcBorders>
          </w:tcPr>
          <w:p w14:paraId="35364DF0"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As Required </w:t>
            </w:r>
          </w:p>
        </w:tc>
      </w:tr>
      <w:tr w:rsidR="00364043" w14:paraId="3ADBE25C" w14:textId="77777777">
        <w:tc>
          <w:tcPr>
            <w:tcW w:w="1250" w:type="pct"/>
            <w:tcBorders>
              <w:top w:val="single" w:sz="6" w:space="0" w:color="auto"/>
              <w:left w:val="single" w:sz="6" w:space="0" w:color="auto"/>
              <w:bottom w:val="single" w:sz="6" w:space="0" w:color="auto"/>
              <w:right w:val="single" w:sz="6" w:space="0" w:color="auto"/>
            </w:tcBorders>
          </w:tcPr>
          <w:p w14:paraId="0896AAE5"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2014 </w:t>
            </w:r>
          </w:p>
        </w:tc>
        <w:tc>
          <w:tcPr>
            <w:tcW w:w="1250" w:type="pct"/>
            <w:tcBorders>
              <w:top w:val="single" w:sz="6" w:space="0" w:color="auto"/>
              <w:left w:val="single" w:sz="6" w:space="0" w:color="auto"/>
              <w:bottom w:val="single" w:sz="6" w:space="0" w:color="auto"/>
              <w:right w:val="single" w:sz="6" w:space="0" w:color="auto"/>
            </w:tcBorders>
          </w:tcPr>
          <w:p w14:paraId="1726D774"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Water Policy Advisory Committee </w:t>
            </w:r>
          </w:p>
        </w:tc>
        <w:tc>
          <w:tcPr>
            <w:tcW w:w="1250" w:type="pct"/>
            <w:tcBorders>
              <w:top w:val="single" w:sz="6" w:space="0" w:color="auto"/>
              <w:left w:val="single" w:sz="6" w:space="0" w:color="auto"/>
              <w:bottom w:val="single" w:sz="6" w:space="0" w:color="auto"/>
              <w:right w:val="single" w:sz="6" w:space="0" w:color="auto"/>
            </w:tcBorders>
          </w:tcPr>
          <w:p w14:paraId="482442D3"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A committee to provide policy advice and assistance on the implementation of the Water Framework Directive and water resource </w:t>
            </w:r>
            <w:proofErr w:type="gramStart"/>
            <w:r>
              <w:rPr>
                <w:rFonts w:ascii="Tms Rmn" w:hAnsi="Tms Rmn" w:cs="Tms Rmn"/>
                <w:color w:val="000000"/>
                <w:kern w:val="0"/>
                <w:sz w:val="24"/>
                <w:szCs w:val="24"/>
              </w:rPr>
              <w:t>issues,  and</w:t>
            </w:r>
            <w:proofErr w:type="gramEnd"/>
            <w:r>
              <w:rPr>
                <w:rFonts w:ascii="Tms Rmn" w:hAnsi="Tms Rmn" w:cs="Tms Rmn"/>
                <w:color w:val="000000"/>
                <w:kern w:val="0"/>
                <w:sz w:val="24"/>
                <w:szCs w:val="24"/>
              </w:rPr>
              <w:t xml:space="preserve"> provide advice on making of river basin management plans including associated programme of measures </w:t>
            </w:r>
          </w:p>
        </w:tc>
        <w:tc>
          <w:tcPr>
            <w:tcW w:w="1250" w:type="pct"/>
            <w:tcBorders>
              <w:top w:val="single" w:sz="6" w:space="0" w:color="auto"/>
              <w:left w:val="single" w:sz="6" w:space="0" w:color="auto"/>
              <w:bottom w:val="single" w:sz="6" w:space="0" w:color="auto"/>
              <w:right w:val="single" w:sz="6" w:space="0" w:color="auto"/>
            </w:tcBorders>
          </w:tcPr>
          <w:p w14:paraId="32246FA5"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Quarterly </w:t>
            </w:r>
          </w:p>
        </w:tc>
      </w:tr>
      <w:tr w:rsidR="00364043" w14:paraId="4CCA10AE" w14:textId="77777777">
        <w:tc>
          <w:tcPr>
            <w:tcW w:w="1250" w:type="pct"/>
            <w:tcBorders>
              <w:top w:val="single" w:sz="6" w:space="0" w:color="auto"/>
              <w:left w:val="single" w:sz="6" w:space="0" w:color="auto"/>
              <w:bottom w:val="single" w:sz="6" w:space="0" w:color="auto"/>
              <w:right w:val="single" w:sz="6" w:space="0" w:color="auto"/>
            </w:tcBorders>
          </w:tcPr>
          <w:p w14:paraId="2087BFF6"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Ongoing </w:t>
            </w:r>
          </w:p>
        </w:tc>
        <w:tc>
          <w:tcPr>
            <w:tcW w:w="1250" w:type="pct"/>
            <w:tcBorders>
              <w:top w:val="single" w:sz="6" w:space="0" w:color="auto"/>
              <w:left w:val="single" w:sz="6" w:space="0" w:color="auto"/>
              <w:bottom w:val="single" w:sz="6" w:space="0" w:color="auto"/>
              <w:right w:val="single" w:sz="6" w:space="0" w:color="auto"/>
            </w:tcBorders>
          </w:tcPr>
          <w:p w14:paraId="12DC005C"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NPWS – Coillte Higher Level Working Group </w:t>
            </w:r>
          </w:p>
        </w:tc>
        <w:tc>
          <w:tcPr>
            <w:tcW w:w="1250" w:type="pct"/>
            <w:tcBorders>
              <w:top w:val="single" w:sz="6" w:space="0" w:color="auto"/>
              <w:left w:val="single" w:sz="6" w:space="0" w:color="auto"/>
              <w:bottom w:val="single" w:sz="6" w:space="0" w:color="auto"/>
              <w:right w:val="single" w:sz="6" w:space="0" w:color="auto"/>
            </w:tcBorders>
          </w:tcPr>
          <w:p w14:paraId="1D06818C"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Working Group established to further the objectives of the Coillte —National Parks and Wildlife Service Memorandum of Understanding </w:t>
            </w:r>
          </w:p>
        </w:tc>
        <w:tc>
          <w:tcPr>
            <w:tcW w:w="1250" w:type="pct"/>
            <w:tcBorders>
              <w:top w:val="single" w:sz="6" w:space="0" w:color="auto"/>
              <w:left w:val="single" w:sz="6" w:space="0" w:color="auto"/>
              <w:bottom w:val="single" w:sz="6" w:space="0" w:color="auto"/>
              <w:right w:val="single" w:sz="6" w:space="0" w:color="auto"/>
            </w:tcBorders>
          </w:tcPr>
          <w:p w14:paraId="1DA48D36"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Quarterly </w:t>
            </w:r>
          </w:p>
        </w:tc>
      </w:tr>
      <w:tr w:rsidR="00364043" w14:paraId="2115B166" w14:textId="77777777">
        <w:tc>
          <w:tcPr>
            <w:tcW w:w="1250" w:type="pct"/>
            <w:tcBorders>
              <w:top w:val="single" w:sz="6" w:space="0" w:color="auto"/>
              <w:left w:val="single" w:sz="6" w:space="0" w:color="auto"/>
              <w:bottom w:val="single" w:sz="6" w:space="0" w:color="auto"/>
              <w:right w:val="single" w:sz="6" w:space="0" w:color="auto"/>
            </w:tcBorders>
          </w:tcPr>
          <w:p w14:paraId="7EEEC8A9"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Ongoing</w:t>
            </w:r>
            <w:hyperlink r:id="rId5" w:history="1">
              <w:r>
                <w:rPr>
                  <w:rFonts w:ascii="Tms Rmn" w:hAnsi="Tms Rmn" w:cs="Tms Rmn"/>
                  <w:color w:val="000000"/>
                  <w:kern w:val="0"/>
                  <w:sz w:val="24"/>
                  <w:szCs w:val="24"/>
                </w:rPr>
                <w:t>[2]</w:t>
              </w:r>
            </w:hyperlink>
            <w:r>
              <w:rPr>
                <w:rFonts w:ascii="Tms Rmn" w:hAnsi="Tms Rmn" w:cs="Tms Rmn"/>
                <w:color w:val="000000"/>
                <w:kern w:val="0"/>
                <w:sz w:val="24"/>
                <w:szCs w:val="24"/>
              </w:rPr>
              <w:t xml:space="preserve"> </w:t>
            </w:r>
          </w:p>
        </w:tc>
        <w:tc>
          <w:tcPr>
            <w:tcW w:w="1250" w:type="pct"/>
            <w:tcBorders>
              <w:top w:val="single" w:sz="6" w:space="0" w:color="auto"/>
              <w:left w:val="single" w:sz="6" w:space="0" w:color="auto"/>
              <w:bottom w:val="single" w:sz="6" w:space="0" w:color="auto"/>
              <w:right w:val="single" w:sz="6" w:space="0" w:color="auto"/>
            </w:tcBorders>
          </w:tcPr>
          <w:p w14:paraId="2994F95A"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General Accounts Working Group </w:t>
            </w:r>
          </w:p>
        </w:tc>
        <w:tc>
          <w:tcPr>
            <w:tcW w:w="1250" w:type="pct"/>
            <w:tcBorders>
              <w:top w:val="single" w:sz="6" w:space="0" w:color="auto"/>
              <w:left w:val="single" w:sz="6" w:space="0" w:color="auto"/>
              <w:bottom w:val="single" w:sz="6" w:space="0" w:color="auto"/>
              <w:right w:val="single" w:sz="6" w:space="0" w:color="auto"/>
            </w:tcBorders>
          </w:tcPr>
          <w:p w14:paraId="532EB235"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Advisory group consisting of local authority sector and department representatives; to advise and agree standardised accounting policies for the local authority sector</w:t>
            </w:r>
          </w:p>
        </w:tc>
        <w:tc>
          <w:tcPr>
            <w:tcW w:w="1250" w:type="pct"/>
            <w:tcBorders>
              <w:top w:val="single" w:sz="6" w:space="0" w:color="auto"/>
              <w:left w:val="single" w:sz="6" w:space="0" w:color="auto"/>
              <w:bottom w:val="single" w:sz="6" w:space="0" w:color="auto"/>
              <w:right w:val="single" w:sz="6" w:space="0" w:color="auto"/>
            </w:tcBorders>
          </w:tcPr>
          <w:p w14:paraId="41778427"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5 Meetings Per Annum </w:t>
            </w:r>
          </w:p>
        </w:tc>
      </w:tr>
      <w:tr w:rsidR="00364043" w14:paraId="3863D6A3" w14:textId="77777777">
        <w:tc>
          <w:tcPr>
            <w:tcW w:w="1250" w:type="pct"/>
            <w:tcBorders>
              <w:top w:val="single" w:sz="6" w:space="0" w:color="auto"/>
              <w:left w:val="single" w:sz="6" w:space="0" w:color="auto"/>
              <w:bottom w:val="single" w:sz="6" w:space="0" w:color="auto"/>
              <w:right w:val="single" w:sz="6" w:space="0" w:color="auto"/>
            </w:tcBorders>
          </w:tcPr>
          <w:p w14:paraId="584358BD"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lastRenderedPageBreak/>
              <w:t xml:space="preserve">Ongoing </w:t>
            </w:r>
          </w:p>
        </w:tc>
        <w:tc>
          <w:tcPr>
            <w:tcW w:w="1250" w:type="pct"/>
            <w:tcBorders>
              <w:top w:val="single" w:sz="6" w:space="0" w:color="auto"/>
              <w:left w:val="single" w:sz="6" w:space="0" w:color="auto"/>
              <w:bottom w:val="single" w:sz="6" w:space="0" w:color="auto"/>
              <w:right w:val="single" w:sz="6" w:space="0" w:color="auto"/>
            </w:tcBorders>
          </w:tcPr>
          <w:p w14:paraId="2AB03DD4"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National Bathing Water Expert Group </w:t>
            </w:r>
          </w:p>
        </w:tc>
        <w:tc>
          <w:tcPr>
            <w:tcW w:w="1250" w:type="pct"/>
            <w:tcBorders>
              <w:top w:val="single" w:sz="6" w:space="0" w:color="auto"/>
              <w:left w:val="single" w:sz="6" w:space="0" w:color="auto"/>
              <w:bottom w:val="single" w:sz="6" w:space="0" w:color="auto"/>
              <w:right w:val="single" w:sz="6" w:space="0" w:color="auto"/>
            </w:tcBorders>
          </w:tcPr>
          <w:p w14:paraId="4640A876"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A group to assist with the implementation of the Bathing Water Quality Directive</w:t>
            </w:r>
          </w:p>
        </w:tc>
        <w:tc>
          <w:tcPr>
            <w:tcW w:w="1250" w:type="pct"/>
            <w:tcBorders>
              <w:top w:val="single" w:sz="6" w:space="0" w:color="auto"/>
              <w:left w:val="single" w:sz="6" w:space="0" w:color="auto"/>
              <w:bottom w:val="single" w:sz="6" w:space="0" w:color="auto"/>
              <w:right w:val="single" w:sz="6" w:space="0" w:color="auto"/>
            </w:tcBorders>
          </w:tcPr>
          <w:p w14:paraId="398B846B" w14:textId="77777777" w:rsidR="00364043" w:rsidRDefault="00364043">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Twice Per Annum </w:t>
            </w:r>
          </w:p>
        </w:tc>
      </w:tr>
    </w:tbl>
    <w:p w14:paraId="2471C36D" w14:textId="77777777" w:rsidR="00753E1E" w:rsidRDefault="00753E1E"/>
    <w:sectPr w:rsidR="00753E1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ms Rmn">
    <w:altName w:val="Times New Roman"/>
    <w:panose1 w:val="02020603040505020304"/>
    <w:charset w:val="00"/>
    <w:family w:val="roman"/>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043"/>
    <w:rsid w:val="00364043"/>
    <w:rsid w:val="004D3881"/>
    <w:rsid w:val="006A3815"/>
    <w:rsid w:val="00753E1E"/>
    <w:rsid w:val="007B10C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A09BC"/>
  <w15:chartTrackingRefBased/>
  <w15:docId w15:val="{65E1381B-0446-44C8-941B-27364F3E4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640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640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640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40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40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40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40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40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40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40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40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40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40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40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40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40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40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4043"/>
    <w:rPr>
      <w:rFonts w:eastAsiaTheme="majorEastAsia" w:cstheme="majorBidi"/>
      <w:color w:val="272727" w:themeColor="text1" w:themeTint="D8"/>
    </w:rPr>
  </w:style>
  <w:style w:type="paragraph" w:styleId="Title">
    <w:name w:val="Title"/>
    <w:basedOn w:val="Normal"/>
    <w:next w:val="Normal"/>
    <w:link w:val="TitleChar"/>
    <w:uiPriority w:val="10"/>
    <w:qFormat/>
    <w:rsid w:val="003640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40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40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40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4043"/>
    <w:pPr>
      <w:spacing w:before="160"/>
      <w:jc w:val="center"/>
    </w:pPr>
    <w:rPr>
      <w:i/>
      <w:iCs/>
      <w:color w:val="404040" w:themeColor="text1" w:themeTint="BF"/>
    </w:rPr>
  </w:style>
  <w:style w:type="character" w:customStyle="1" w:styleId="QuoteChar">
    <w:name w:val="Quote Char"/>
    <w:basedOn w:val="DefaultParagraphFont"/>
    <w:link w:val="Quote"/>
    <w:uiPriority w:val="29"/>
    <w:rsid w:val="00364043"/>
    <w:rPr>
      <w:i/>
      <w:iCs/>
      <w:color w:val="404040" w:themeColor="text1" w:themeTint="BF"/>
    </w:rPr>
  </w:style>
  <w:style w:type="paragraph" w:styleId="ListParagraph">
    <w:name w:val="List Paragraph"/>
    <w:basedOn w:val="Normal"/>
    <w:uiPriority w:val="34"/>
    <w:qFormat/>
    <w:rsid w:val="00364043"/>
    <w:pPr>
      <w:ind w:left="720"/>
      <w:contextualSpacing/>
    </w:pPr>
  </w:style>
  <w:style w:type="character" w:styleId="IntenseEmphasis">
    <w:name w:val="Intense Emphasis"/>
    <w:basedOn w:val="DefaultParagraphFont"/>
    <w:uiPriority w:val="21"/>
    <w:qFormat/>
    <w:rsid w:val="00364043"/>
    <w:rPr>
      <w:i/>
      <w:iCs/>
      <w:color w:val="0F4761" w:themeColor="accent1" w:themeShade="BF"/>
    </w:rPr>
  </w:style>
  <w:style w:type="paragraph" w:styleId="IntenseQuote">
    <w:name w:val="Intense Quote"/>
    <w:basedOn w:val="Normal"/>
    <w:next w:val="Normal"/>
    <w:link w:val="IntenseQuoteChar"/>
    <w:uiPriority w:val="30"/>
    <w:qFormat/>
    <w:rsid w:val="003640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4043"/>
    <w:rPr>
      <w:i/>
      <w:iCs/>
      <w:color w:val="0F4761" w:themeColor="accent1" w:themeShade="BF"/>
    </w:rPr>
  </w:style>
  <w:style w:type="character" w:styleId="IntenseReference">
    <w:name w:val="Intense Reference"/>
    <w:basedOn w:val="DefaultParagraphFont"/>
    <w:uiPriority w:val="32"/>
    <w:qFormat/>
    <w:rsid w:val="0036404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file:///C:/Users/marronp/AppData/Local/Microsoft/Windows/INetCache/Content.Outlook/B3XOWJ45/Deferred%20PQ%2010158%20of%2010%20February%202026.docx#_ftn2" TargetMode="External"/><Relationship Id="rId4" Type="http://schemas.openxmlformats.org/officeDocument/2006/relationships/hyperlink" Target="file:///C:/Users/marronp/AppData/Local/Microsoft/Windows/INetCache/Content.Outlook/B3XOWJ45/Deferred%20PQ%2010158%20of%2010%20February%202026.docx#_ftn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19</Pages>
  <Words>3176</Words>
  <Characters>18105</Characters>
  <Application>Microsoft Office Word</Application>
  <DocSecurity>0</DocSecurity>
  <Lines>150</Lines>
  <Paragraphs>42</Paragraphs>
  <ScaleCrop>false</ScaleCrop>
  <Company/>
  <LinksUpToDate>false</LinksUpToDate>
  <CharactersWithSpaces>21239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Connolly</dc:creator>
  <cp:keywords/>
  <dc:description/>
  <cp:lastModifiedBy>Patrick Connolly</cp:lastModifiedBy>
  <cp:revision>1</cp:revision>
  <dcterms:created xsi:type="dcterms:W3CDTF">2026-03-09T15:48:00Z</dcterms:created>
  <dcterms:modified xsi:type="dcterms:W3CDTF">2026-03-09T15:50:00Z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276e348-bda2-42ff-85d7-569ad34f2b3a_Enabled">
    <vt:lpwstr>true</vt:lpwstr>
  </property>
  <property fmtid="{D5CDD505-2E9C-101B-9397-08002B2CF9AE}" pid="3" name="MSIP_Label_a276e348-bda2-42ff-85d7-569ad34f2b3a_SetDate">
    <vt:lpwstr>2026-03-09T15:50:35Z</vt:lpwstr>
  </property>
  <property fmtid="{D5CDD505-2E9C-101B-9397-08002B2CF9AE}" pid="4" name="MSIP_Label_a276e348-bda2-42ff-85d7-569ad34f2b3a_Method">
    <vt:lpwstr>Standard</vt:lpwstr>
  </property>
  <property fmtid="{D5CDD505-2E9C-101B-9397-08002B2CF9AE}" pid="5" name="MSIP_Label_a276e348-bda2-42ff-85d7-569ad34f2b3a_Name">
    <vt:lpwstr>Confidential Data</vt:lpwstr>
  </property>
  <property fmtid="{D5CDD505-2E9C-101B-9397-08002B2CF9AE}" pid="6" name="MSIP_Label_a276e348-bda2-42ff-85d7-569ad34f2b3a_SiteId">
    <vt:lpwstr>ce71ecf0-0b97-47b2-966c-b4ecc8db23f2</vt:lpwstr>
  </property>
  <property fmtid="{D5CDD505-2E9C-101B-9397-08002B2CF9AE}" pid="7" name="MSIP_Label_a276e348-bda2-42ff-85d7-569ad34f2b3a_ActionId">
    <vt:lpwstr>2d6377a3-2db7-4785-bfbb-3319e29e4305</vt:lpwstr>
  </property>
  <property fmtid="{D5CDD505-2E9C-101B-9397-08002B2CF9AE}" pid="8" name="MSIP_Label_a276e348-bda2-42ff-85d7-569ad34f2b3a_ContentBits">
    <vt:lpwstr>0</vt:lpwstr>
  </property>
</Properties>
</file>