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BF" w:firstRow="1" w:lastRow="0" w:firstColumn="1" w:lastColumn="0" w:noHBand="0" w:noVBand="0"/>
      </w:tblPr>
      <w:tblGrid>
        <w:gridCol w:w="2324"/>
        <w:gridCol w:w="2324"/>
        <w:gridCol w:w="2324"/>
        <w:gridCol w:w="2324"/>
        <w:gridCol w:w="2323"/>
        <w:gridCol w:w="2323"/>
      </w:tblGrid>
      <w:tr w:rsidR="00DE168C" w14:paraId="6FA9F825" w14:textId="77777777">
        <w:tc>
          <w:tcPr>
            <w:tcW w:w="833" w:type="pct"/>
            <w:tcBorders>
              <w:top w:val="single" w:sz="6" w:space="0" w:color="auto"/>
              <w:left w:val="single" w:sz="6" w:space="0" w:color="auto"/>
              <w:bottom w:val="single" w:sz="6" w:space="0" w:color="auto"/>
              <w:right w:val="single" w:sz="6" w:space="0" w:color="auto"/>
            </w:tcBorders>
          </w:tcPr>
          <w:p w14:paraId="49FED12E" w14:textId="77777777" w:rsidR="00DE168C" w:rsidRDefault="00DE168C">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Action Number </w:t>
            </w:r>
          </w:p>
        </w:tc>
        <w:tc>
          <w:tcPr>
            <w:tcW w:w="833" w:type="pct"/>
            <w:tcBorders>
              <w:top w:val="single" w:sz="6" w:space="0" w:color="auto"/>
              <w:left w:val="single" w:sz="6" w:space="0" w:color="auto"/>
              <w:bottom w:val="single" w:sz="6" w:space="0" w:color="auto"/>
              <w:right w:val="single" w:sz="6" w:space="0" w:color="auto"/>
            </w:tcBorders>
          </w:tcPr>
          <w:p w14:paraId="4FABB178" w14:textId="77777777" w:rsidR="00DE168C" w:rsidRDefault="00DE168C">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Actions </w:t>
            </w:r>
          </w:p>
        </w:tc>
        <w:tc>
          <w:tcPr>
            <w:tcW w:w="833" w:type="pct"/>
            <w:tcBorders>
              <w:top w:val="single" w:sz="6" w:space="0" w:color="auto"/>
              <w:left w:val="single" w:sz="6" w:space="0" w:color="auto"/>
              <w:bottom w:val="single" w:sz="6" w:space="0" w:color="auto"/>
              <w:right w:val="single" w:sz="6" w:space="0" w:color="auto"/>
            </w:tcBorders>
          </w:tcPr>
          <w:p w14:paraId="08C427AE" w14:textId="77777777" w:rsidR="00DE168C" w:rsidRDefault="00DE168C">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Output </w:t>
            </w:r>
          </w:p>
        </w:tc>
        <w:tc>
          <w:tcPr>
            <w:tcW w:w="833" w:type="pct"/>
            <w:tcBorders>
              <w:top w:val="single" w:sz="6" w:space="0" w:color="auto"/>
              <w:left w:val="single" w:sz="6" w:space="0" w:color="auto"/>
              <w:bottom w:val="single" w:sz="6" w:space="0" w:color="auto"/>
              <w:right w:val="single" w:sz="6" w:space="0" w:color="auto"/>
            </w:tcBorders>
          </w:tcPr>
          <w:p w14:paraId="683304F1" w14:textId="77777777" w:rsidR="00DE168C" w:rsidRDefault="00DE168C">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Timeline </w:t>
            </w:r>
          </w:p>
        </w:tc>
        <w:tc>
          <w:tcPr>
            <w:tcW w:w="833" w:type="pct"/>
            <w:tcBorders>
              <w:top w:val="single" w:sz="6" w:space="0" w:color="auto"/>
              <w:left w:val="single" w:sz="6" w:space="0" w:color="auto"/>
              <w:bottom w:val="single" w:sz="6" w:space="0" w:color="auto"/>
              <w:right w:val="single" w:sz="6" w:space="0" w:color="auto"/>
            </w:tcBorders>
          </w:tcPr>
          <w:p w14:paraId="08517D60" w14:textId="77777777" w:rsidR="00DE168C" w:rsidRDefault="00DE168C">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Status </w:t>
            </w:r>
          </w:p>
        </w:tc>
        <w:tc>
          <w:tcPr>
            <w:tcW w:w="833" w:type="pct"/>
            <w:tcBorders>
              <w:top w:val="single" w:sz="6" w:space="0" w:color="auto"/>
              <w:left w:val="single" w:sz="6" w:space="0" w:color="auto"/>
              <w:bottom w:val="single" w:sz="6" w:space="0" w:color="auto"/>
              <w:right w:val="single" w:sz="6" w:space="0" w:color="auto"/>
            </w:tcBorders>
          </w:tcPr>
          <w:p w14:paraId="39438DF6" w14:textId="77777777" w:rsidR="00DE168C" w:rsidRDefault="00DE168C">
            <w:pPr>
              <w:keepNext/>
              <w:keepLines/>
              <w:autoSpaceDE w:val="0"/>
              <w:autoSpaceDN w:val="0"/>
              <w:adjustRightInd w:val="0"/>
              <w:spacing w:after="0" w:line="240" w:lineRule="auto"/>
              <w:ind w:left="15"/>
              <w:jc w:val="center"/>
              <w:rPr>
                <w:rFonts w:ascii="Tms Rmn" w:hAnsi="Tms Rmn" w:cs="Tms Rmn"/>
                <w:b/>
                <w:bCs/>
                <w:color w:val="000000"/>
                <w:kern w:val="0"/>
                <w:sz w:val="24"/>
                <w:szCs w:val="24"/>
              </w:rPr>
            </w:pPr>
            <w:r>
              <w:rPr>
                <w:rFonts w:ascii="Tms Rmn" w:hAnsi="Tms Rmn" w:cs="Tms Rmn"/>
                <w:b/>
                <w:bCs/>
                <w:color w:val="000000"/>
                <w:kern w:val="0"/>
                <w:sz w:val="24"/>
                <w:szCs w:val="24"/>
              </w:rPr>
              <w:t xml:space="preserve">Progress </w:t>
            </w:r>
          </w:p>
        </w:tc>
      </w:tr>
      <w:tr w:rsidR="00DE168C" w14:paraId="1FFEE212" w14:textId="77777777">
        <w:tc>
          <w:tcPr>
            <w:tcW w:w="833" w:type="pct"/>
            <w:tcBorders>
              <w:top w:val="single" w:sz="6" w:space="0" w:color="auto"/>
              <w:left w:val="single" w:sz="6" w:space="0" w:color="auto"/>
              <w:bottom w:val="single" w:sz="6" w:space="0" w:color="auto"/>
              <w:right w:val="single" w:sz="6" w:space="0" w:color="auto"/>
            </w:tcBorders>
          </w:tcPr>
          <w:p w14:paraId="66A1A537"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AG/24/10 </w:t>
            </w:r>
          </w:p>
        </w:tc>
        <w:tc>
          <w:tcPr>
            <w:tcW w:w="833" w:type="pct"/>
            <w:tcBorders>
              <w:top w:val="single" w:sz="6" w:space="0" w:color="auto"/>
              <w:left w:val="single" w:sz="6" w:space="0" w:color="auto"/>
              <w:bottom w:val="single" w:sz="6" w:space="0" w:color="auto"/>
              <w:right w:val="single" w:sz="6" w:space="0" w:color="auto"/>
            </w:tcBorders>
          </w:tcPr>
          <w:p w14:paraId="624C1FE5"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Develop a detailed implementation plan for the translation of the Teagasc 2023 MACC and incorporation where appropriate into the Climate Action Plan </w:t>
            </w:r>
          </w:p>
        </w:tc>
        <w:tc>
          <w:tcPr>
            <w:tcW w:w="833" w:type="pct"/>
            <w:tcBorders>
              <w:top w:val="single" w:sz="6" w:space="0" w:color="auto"/>
              <w:left w:val="single" w:sz="6" w:space="0" w:color="auto"/>
              <w:bottom w:val="single" w:sz="6" w:space="0" w:color="auto"/>
              <w:right w:val="single" w:sz="6" w:space="0" w:color="auto"/>
            </w:tcBorders>
          </w:tcPr>
          <w:p w14:paraId="1D708A22"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New/updated measures from the Teagasc MACC included in the Climate Action Plan </w:t>
            </w:r>
          </w:p>
        </w:tc>
        <w:tc>
          <w:tcPr>
            <w:tcW w:w="833" w:type="pct"/>
            <w:tcBorders>
              <w:top w:val="single" w:sz="6" w:space="0" w:color="auto"/>
              <w:left w:val="single" w:sz="6" w:space="0" w:color="auto"/>
              <w:bottom w:val="single" w:sz="6" w:space="0" w:color="auto"/>
              <w:right w:val="single" w:sz="6" w:space="0" w:color="auto"/>
            </w:tcBorders>
          </w:tcPr>
          <w:p w14:paraId="016FEA16"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Q3 2024 </w:t>
            </w:r>
          </w:p>
        </w:tc>
        <w:tc>
          <w:tcPr>
            <w:tcW w:w="833" w:type="pct"/>
            <w:tcBorders>
              <w:top w:val="single" w:sz="6" w:space="0" w:color="auto"/>
              <w:left w:val="single" w:sz="6" w:space="0" w:color="auto"/>
              <w:bottom w:val="single" w:sz="6" w:space="0" w:color="auto"/>
              <w:right w:val="single" w:sz="6" w:space="0" w:color="auto"/>
            </w:tcBorders>
          </w:tcPr>
          <w:p w14:paraId="3D73F627"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Complete </w:t>
            </w:r>
          </w:p>
        </w:tc>
        <w:tc>
          <w:tcPr>
            <w:tcW w:w="833" w:type="pct"/>
            <w:tcBorders>
              <w:top w:val="single" w:sz="6" w:space="0" w:color="auto"/>
              <w:left w:val="single" w:sz="6" w:space="0" w:color="auto"/>
              <w:bottom w:val="single" w:sz="6" w:space="0" w:color="auto"/>
              <w:right w:val="single" w:sz="6" w:space="0" w:color="auto"/>
            </w:tcBorders>
          </w:tcPr>
          <w:p w14:paraId="24B71DCC"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Action Complete </w:t>
            </w:r>
          </w:p>
        </w:tc>
      </w:tr>
      <w:tr w:rsidR="00DE168C" w14:paraId="288309B8" w14:textId="77777777">
        <w:tc>
          <w:tcPr>
            <w:tcW w:w="833" w:type="pct"/>
            <w:tcBorders>
              <w:top w:val="single" w:sz="6" w:space="0" w:color="auto"/>
              <w:left w:val="single" w:sz="6" w:space="0" w:color="auto"/>
              <w:bottom w:val="single" w:sz="6" w:space="0" w:color="auto"/>
              <w:right w:val="single" w:sz="6" w:space="0" w:color="auto"/>
            </w:tcBorders>
          </w:tcPr>
          <w:p w14:paraId="1033808B"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AG/24/16 </w:t>
            </w:r>
          </w:p>
        </w:tc>
        <w:tc>
          <w:tcPr>
            <w:tcW w:w="833" w:type="pct"/>
            <w:tcBorders>
              <w:top w:val="single" w:sz="6" w:space="0" w:color="auto"/>
              <w:left w:val="single" w:sz="6" w:space="0" w:color="auto"/>
              <w:bottom w:val="single" w:sz="6" w:space="0" w:color="auto"/>
              <w:right w:val="single" w:sz="6" w:space="0" w:color="auto"/>
            </w:tcBorders>
          </w:tcPr>
          <w:p w14:paraId="22D70A39"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Develop a system for the monitoring and reporting of methane reducing feed and manure ingredients </w:t>
            </w:r>
          </w:p>
        </w:tc>
        <w:tc>
          <w:tcPr>
            <w:tcW w:w="833" w:type="pct"/>
            <w:tcBorders>
              <w:top w:val="single" w:sz="6" w:space="0" w:color="auto"/>
              <w:left w:val="single" w:sz="6" w:space="0" w:color="auto"/>
              <w:bottom w:val="single" w:sz="6" w:space="0" w:color="auto"/>
              <w:right w:val="single" w:sz="6" w:space="0" w:color="auto"/>
            </w:tcBorders>
          </w:tcPr>
          <w:p w14:paraId="2EAFE940"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Develop a system for the monitoring and reporting of methane reducing feed and manure ingredients </w:t>
            </w:r>
          </w:p>
        </w:tc>
        <w:tc>
          <w:tcPr>
            <w:tcW w:w="833" w:type="pct"/>
            <w:tcBorders>
              <w:top w:val="single" w:sz="6" w:space="0" w:color="auto"/>
              <w:left w:val="single" w:sz="6" w:space="0" w:color="auto"/>
              <w:bottom w:val="single" w:sz="6" w:space="0" w:color="auto"/>
              <w:right w:val="single" w:sz="6" w:space="0" w:color="auto"/>
            </w:tcBorders>
          </w:tcPr>
          <w:p w14:paraId="2D940D19"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Q4 2024 </w:t>
            </w:r>
          </w:p>
        </w:tc>
        <w:tc>
          <w:tcPr>
            <w:tcW w:w="833" w:type="pct"/>
            <w:tcBorders>
              <w:top w:val="single" w:sz="6" w:space="0" w:color="auto"/>
              <w:left w:val="single" w:sz="6" w:space="0" w:color="auto"/>
              <w:bottom w:val="single" w:sz="6" w:space="0" w:color="auto"/>
              <w:right w:val="single" w:sz="6" w:space="0" w:color="auto"/>
            </w:tcBorders>
          </w:tcPr>
          <w:p w14:paraId="23C7518C"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Delayed </w:t>
            </w:r>
          </w:p>
        </w:tc>
        <w:tc>
          <w:tcPr>
            <w:tcW w:w="833" w:type="pct"/>
            <w:tcBorders>
              <w:top w:val="single" w:sz="6" w:space="0" w:color="auto"/>
              <w:left w:val="single" w:sz="6" w:space="0" w:color="auto"/>
              <w:bottom w:val="single" w:sz="6" w:space="0" w:color="auto"/>
              <w:right w:val="single" w:sz="6" w:space="0" w:color="auto"/>
            </w:tcBorders>
          </w:tcPr>
          <w:p w14:paraId="30903D0E"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Development of a monitoring &amp; reporting system is progressing </w:t>
            </w:r>
          </w:p>
        </w:tc>
      </w:tr>
      <w:tr w:rsidR="00DE168C" w14:paraId="4DEE7688" w14:textId="77777777">
        <w:tc>
          <w:tcPr>
            <w:tcW w:w="833" w:type="pct"/>
            <w:tcBorders>
              <w:top w:val="single" w:sz="6" w:space="0" w:color="auto"/>
              <w:left w:val="single" w:sz="6" w:space="0" w:color="auto"/>
              <w:bottom w:val="single" w:sz="6" w:space="0" w:color="auto"/>
              <w:right w:val="single" w:sz="6" w:space="0" w:color="auto"/>
            </w:tcBorders>
          </w:tcPr>
          <w:p w14:paraId="4618A432"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AG/24/18 </w:t>
            </w:r>
          </w:p>
        </w:tc>
        <w:tc>
          <w:tcPr>
            <w:tcW w:w="833" w:type="pct"/>
            <w:tcBorders>
              <w:top w:val="single" w:sz="6" w:space="0" w:color="auto"/>
              <w:left w:val="single" w:sz="6" w:space="0" w:color="auto"/>
              <w:bottom w:val="single" w:sz="6" w:space="0" w:color="auto"/>
              <w:right w:val="single" w:sz="6" w:space="0" w:color="auto"/>
            </w:tcBorders>
          </w:tcPr>
          <w:p w14:paraId="3A5FEF86"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Develop a pilot programme for the incorporation of methane reducing additives (enteric and manure) within the Signpost dairy farms </w:t>
            </w:r>
          </w:p>
        </w:tc>
        <w:tc>
          <w:tcPr>
            <w:tcW w:w="833" w:type="pct"/>
            <w:tcBorders>
              <w:top w:val="single" w:sz="6" w:space="0" w:color="auto"/>
              <w:left w:val="single" w:sz="6" w:space="0" w:color="auto"/>
              <w:bottom w:val="single" w:sz="6" w:space="0" w:color="auto"/>
              <w:right w:val="single" w:sz="6" w:space="0" w:color="auto"/>
            </w:tcBorders>
          </w:tcPr>
          <w:p w14:paraId="0D74CDF6"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On-farm demonstration of the feasibility of the incorporation of methane reducing feed additives, and generation of farm specific carbon footprints </w:t>
            </w:r>
          </w:p>
        </w:tc>
        <w:tc>
          <w:tcPr>
            <w:tcW w:w="833" w:type="pct"/>
            <w:tcBorders>
              <w:top w:val="single" w:sz="6" w:space="0" w:color="auto"/>
              <w:left w:val="single" w:sz="6" w:space="0" w:color="auto"/>
              <w:bottom w:val="single" w:sz="6" w:space="0" w:color="auto"/>
              <w:right w:val="single" w:sz="6" w:space="0" w:color="auto"/>
            </w:tcBorders>
          </w:tcPr>
          <w:p w14:paraId="550E0785"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Q4 2024 </w:t>
            </w:r>
          </w:p>
        </w:tc>
        <w:tc>
          <w:tcPr>
            <w:tcW w:w="833" w:type="pct"/>
            <w:tcBorders>
              <w:top w:val="single" w:sz="6" w:space="0" w:color="auto"/>
              <w:left w:val="single" w:sz="6" w:space="0" w:color="auto"/>
              <w:bottom w:val="single" w:sz="6" w:space="0" w:color="auto"/>
              <w:right w:val="single" w:sz="6" w:space="0" w:color="auto"/>
            </w:tcBorders>
          </w:tcPr>
          <w:p w14:paraId="16435927"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Complete </w:t>
            </w:r>
          </w:p>
        </w:tc>
        <w:tc>
          <w:tcPr>
            <w:tcW w:w="833" w:type="pct"/>
            <w:tcBorders>
              <w:top w:val="single" w:sz="6" w:space="0" w:color="auto"/>
              <w:left w:val="single" w:sz="6" w:space="0" w:color="auto"/>
              <w:bottom w:val="single" w:sz="6" w:space="0" w:color="auto"/>
              <w:right w:val="single" w:sz="6" w:space="0" w:color="auto"/>
            </w:tcBorders>
          </w:tcPr>
          <w:p w14:paraId="30BFECDC"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Action Complete </w:t>
            </w:r>
          </w:p>
        </w:tc>
      </w:tr>
      <w:tr w:rsidR="00DE168C" w14:paraId="13C5953E" w14:textId="77777777">
        <w:tc>
          <w:tcPr>
            <w:tcW w:w="833" w:type="pct"/>
            <w:tcBorders>
              <w:top w:val="single" w:sz="6" w:space="0" w:color="auto"/>
              <w:left w:val="single" w:sz="6" w:space="0" w:color="auto"/>
              <w:bottom w:val="single" w:sz="6" w:space="0" w:color="auto"/>
              <w:right w:val="single" w:sz="6" w:space="0" w:color="auto"/>
            </w:tcBorders>
          </w:tcPr>
          <w:p w14:paraId="50462B9A"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AG/24/26 </w:t>
            </w:r>
          </w:p>
        </w:tc>
        <w:tc>
          <w:tcPr>
            <w:tcW w:w="833" w:type="pct"/>
            <w:tcBorders>
              <w:top w:val="single" w:sz="6" w:space="0" w:color="auto"/>
              <w:left w:val="single" w:sz="6" w:space="0" w:color="auto"/>
              <w:bottom w:val="single" w:sz="6" w:space="0" w:color="auto"/>
              <w:right w:val="single" w:sz="6" w:space="0" w:color="auto"/>
            </w:tcBorders>
          </w:tcPr>
          <w:p w14:paraId="2F0397E0"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Development of ecosystem services through the creation of a carbon farming framework </w:t>
            </w:r>
          </w:p>
        </w:tc>
        <w:tc>
          <w:tcPr>
            <w:tcW w:w="833" w:type="pct"/>
            <w:tcBorders>
              <w:top w:val="single" w:sz="6" w:space="0" w:color="auto"/>
              <w:left w:val="single" w:sz="6" w:space="0" w:color="auto"/>
              <w:bottom w:val="single" w:sz="6" w:space="0" w:color="auto"/>
              <w:right w:val="single" w:sz="6" w:space="0" w:color="auto"/>
            </w:tcBorders>
          </w:tcPr>
          <w:p w14:paraId="37E6398D"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Draft framework published </w:t>
            </w:r>
          </w:p>
        </w:tc>
        <w:tc>
          <w:tcPr>
            <w:tcW w:w="833" w:type="pct"/>
            <w:tcBorders>
              <w:top w:val="single" w:sz="6" w:space="0" w:color="auto"/>
              <w:left w:val="single" w:sz="6" w:space="0" w:color="auto"/>
              <w:bottom w:val="single" w:sz="6" w:space="0" w:color="auto"/>
              <w:right w:val="single" w:sz="6" w:space="0" w:color="auto"/>
            </w:tcBorders>
          </w:tcPr>
          <w:p w14:paraId="163AB383"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Q2 2024 </w:t>
            </w:r>
          </w:p>
        </w:tc>
        <w:tc>
          <w:tcPr>
            <w:tcW w:w="833" w:type="pct"/>
            <w:tcBorders>
              <w:top w:val="single" w:sz="6" w:space="0" w:color="auto"/>
              <w:left w:val="single" w:sz="6" w:space="0" w:color="auto"/>
              <w:bottom w:val="single" w:sz="6" w:space="0" w:color="auto"/>
              <w:right w:val="single" w:sz="6" w:space="0" w:color="auto"/>
            </w:tcBorders>
          </w:tcPr>
          <w:p w14:paraId="65056189"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Delayed </w:t>
            </w:r>
          </w:p>
        </w:tc>
        <w:tc>
          <w:tcPr>
            <w:tcW w:w="833" w:type="pct"/>
            <w:tcBorders>
              <w:top w:val="single" w:sz="6" w:space="0" w:color="auto"/>
              <w:left w:val="single" w:sz="6" w:space="0" w:color="auto"/>
              <w:bottom w:val="single" w:sz="6" w:space="0" w:color="auto"/>
              <w:right w:val="single" w:sz="6" w:space="0" w:color="auto"/>
            </w:tcBorders>
          </w:tcPr>
          <w:p w14:paraId="1A7BA069"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Discussions on the development of policy for Carbon farming are progressing </w:t>
            </w:r>
          </w:p>
        </w:tc>
      </w:tr>
      <w:tr w:rsidR="00DE168C" w14:paraId="348EAFAF" w14:textId="77777777">
        <w:tc>
          <w:tcPr>
            <w:tcW w:w="833" w:type="pct"/>
            <w:tcBorders>
              <w:top w:val="single" w:sz="6" w:space="0" w:color="auto"/>
              <w:left w:val="single" w:sz="6" w:space="0" w:color="auto"/>
              <w:bottom w:val="single" w:sz="6" w:space="0" w:color="auto"/>
              <w:right w:val="single" w:sz="6" w:space="0" w:color="auto"/>
            </w:tcBorders>
          </w:tcPr>
          <w:p w14:paraId="1DFB2EBD"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AG/24/8 </w:t>
            </w:r>
          </w:p>
        </w:tc>
        <w:tc>
          <w:tcPr>
            <w:tcW w:w="833" w:type="pct"/>
            <w:tcBorders>
              <w:top w:val="single" w:sz="6" w:space="0" w:color="auto"/>
              <w:left w:val="single" w:sz="6" w:space="0" w:color="auto"/>
              <w:bottom w:val="single" w:sz="6" w:space="0" w:color="auto"/>
              <w:right w:val="single" w:sz="6" w:space="0" w:color="auto"/>
            </w:tcBorders>
          </w:tcPr>
          <w:p w14:paraId="483CB983"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Deliver a range of knowledge transfer activities promoting the importance and benefits to farmers of optimising nutrient management strategies as a key contributor to reduced gaseous emissions </w:t>
            </w:r>
          </w:p>
        </w:tc>
        <w:tc>
          <w:tcPr>
            <w:tcW w:w="833" w:type="pct"/>
            <w:tcBorders>
              <w:top w:val="single" w:sz="6" w:space="0" w:color="auto"/>
              <w:left w:val="single" w:sz="6" w:space="0" w:color="auto"/>
              <w:bottom w:val="single" w:sz="6" w:space="0" w:color="auto"/>
              <w:right w:val="single" w:sz="6" w:space="0" w:color="auto"/>
            </w:tcBorders>
          </w:tcPr>
          <w:p w14:paraId="5CA5C0E9"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Farmer engagement in Signpost Advisory Programme Engage and support 20,000 farmers in the Signpost Advisory Programme, 4,500 farmers in Derogation Scheme support and 15,000 farmers in ACRES. Analyse and provide feedback on at least 50,000 soil samples. </w:t>
            </w:r>
          </w:p>
        </w:tc>
        <w:tc>
          <w:tcPr>
            <w:tcW w:w="833" w:type="pct"/>
            <w:tcBorders>
              <w:top w:val="single" w:sz="6" w:space="0" w:color="auto"/>
              <w:left w:val="single" w:sz="6" w:space="0" w:color="auto"/>
              <w:bottom w:val="single" w:sz="6" w:space="0" w:color="auto"/>
              <w:right w:val="single" w:sz="6" w:space="0" w:color="auto"/>
            </w:tcBorders>
          </w:tcPr>
          <w:p w14:paraId="5DE6A12E"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Q4 2024 </w:t>
            </w:r>
          </w:p>
        </w:tc>
        <w:tc>
          <w:tcPr>
            <w:tcW w:w="833" w:type="pct"/>
            <w:tcBorders>
              <w:top w:val="single" w:sz="6" w:space="0" w:color="auto"/>
              <w:left w:val="single" w:sz="6" w:space="0" w:color="auto"/>
              <w:bottom w:val="single" w:sz="6" w:space="0" w:color="auto"/>
              <w:right w:val="single" w:sz="6" w:space="0" w:color="auto"/>
            </w:tcBorders>
          </w:tcPr>
          <w:p w14:paraId="73C2492F"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Delayed </w:t>
            </w:r>
          </w:p>
        </w:tc>
        <w:tc>
          <w:tcPr>
            <w:tcW w:w="833" w:type="pct"/>
            <w:tcBorders>
              <w:top w:val="single" w:sz="6" w:space="0" w:color="auto"/>
              <w:left w:val="single" w:sz="6" w:space="0" w:color="auto"/>
              <w:bottom w:val="single" w:sz="6" w:space="0" w:color="auto"/>
              <w:right w:val="single" w:sz="6" w:space="0" w:color="auto"/>
            </w:tcBorders>
          </w:tcPr>
          <w:p w14:paraId="7F7E8A5B"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Teagasc continues to deliver a range of knowledge transfer activities, and this action is progressing </w:t>
            </w:r>
          </w:p>
        </w:tc>
      </w:tr>
      <w:tr w:rsidR="00DE168C" w14:paraId="21C48F68" w14:textId="77777777">
        <w:tc>
          <w:tcPr>
            <w:tcW w:w="833" w:type="pct"/>
            <w:tcBorders>
              <w:top w:val="single" w:sz="6" w:space="0" w:color="auto"/>
              <w:left w:val="single" w:sz="6" w:space="0" w:color="auto"/>
              <w:bottom w:val="single" w:sz="6" w:space="0" w:color="auto"/>
              <w:right w:val="single" w:sz="6" w:space="0" w:color="auto"/>
            </w:tcBorders>
          </w:tcPr>
          <w:p w14:paraId="60F69255"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JM/24/3 </w:t>
            </w:r>
          </w:p>
        </w:tc>
        <w:tc>
          <w:tcPr>
            <w:tcW w:w="833" w:type="pct"/>
            <w:tcBorders>
              <w:top w:val="single" w:sz="6" w:space="0" w:color="auto"/>
              <w:left w:val="single" w:sz="6" w:space="0" w:color="auto"/>
              <w:bottom w:val="single" w:sz="6" w:space="0" w:color="auto"/>
              <w:right w:val="single" w:sz="6" w:space="0" w:color="auto"/>
            </w:tcBorders>
          </w:tcPr>
          <w:p w14:paraId="6E58A4D6"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Support piloting, demonstration and innovation for a sustainable and circular bioeconomy </w:t>
            </w:r>
          </w:p>
        </w:tc>
        <w:tc>
          <w:tcPr>
            <w:tcW w:w="833" w:type="pct"/>
            <w:tcBorders>
              <w:top w:val="single" w:sz="6" w:space="0" w:color="auto"/>
              <w:left w:val="single" w:sz="6" w:space="0" w:color="auto"/>
              <w:bottom w:val="single" w:sz="6" w:space="0" w:color="auto"/>
              <w:right w:val="single" w:sz="6" w:space="0" w:color="auto"/>
            </w:tcBorders>
          </w:tcPr>
          <w:p w14:paraId="59B89D67"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Grant agreements in place with approved projects to advance initiatives for a competitive bioeconomy </w:t>
            </w:r>
          </w:p>
        </w:tc>
        <w:tc>
          <w:tcPr>
            <w:tcW w:w="833" w:type="pct"/>
            <w:tcBorders>
              <w:top w:val="single" w:sz="6" w:space="0" w:color="auto"/>
              <w:left w:val="single" w:sz="6" w:space="0" w:color="auto"/>
              <w:bottom w:val="single" w:sz="6" w:space="0" w:color="auto"/>
              <w:right w:val="single" w:sz="6" w:space="0" w:color="auto"/>
            </w:tcBorders>
          </w:tcPr>
          <w:p w14:paraId="1A7B5568"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Q4 2024 </w:t>
            </w:r>
          </w:p>
        </w:tc>
        <w:tc>
          <w:tcPr>
            <w:tcW w:w="833" w:type="pct"/>
            <w:tcBorders>
              <w:top w:val="single" w:sz="6" w:space="0" w:color="auto"/>
              <w:left w:val="single" w:sz="6" w:space="0" w:color="auto"/>
              <w:bottom w:val="single" w:sz="6" w:space="0" w:color="auto"/>
              <w:right w:val="single" w:sz="6" w:space="0" w:color="auto"/>
            </w:tcBorders>
          </w:tcPr>
          <w:p w14:paraId="08883A38"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Delayed </w:t>
            </w:r>
          </w:p>
        </w:tc>
        <w:tc>
          <w:tcPr>
            <w:tcW w:w="833" w:type="pct"/>
            <w:tcBorders>
              <w:top w:val="single" w:sz="6" w:space="0" w:color="auto"/>
              <w:left w:val="single" w:sz="6" w:space="0" w:color="auto"/>
              <w:bottom w:val="single" w:sz="6" w:space="0" w:color="auto"/>
              <w:right w:val="single" w:sz="6" w:space="0" w:color="auto"/>
            </w:tcBorders>
          </w:tcPr>
          <w:p w14:paraId="6D2E3C19"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grant agreements for approved projects are progressing </w:t>
            </w:r>
          </w:p>
        </w:tc>
      </w:tr>
      <w:tr w:rsidR="00DE168C" w14:paraId="355F18AD" w14:textId="77777777">
        <w:tc>
          <w:tcPr>
            <w:tcW w:w="833" w:type="pct"/>
            <w:tcBorders>
              <w:top w:val="single" w:sz="6" w:space="0" w:color="auto"/>
              <w:left w:val="single" w:sz="6" w:space="0" w:color="auto"/>
              <w:bottom w:val="single" w:sz="6" w:space="0" w:color="auto"/>
              <w:right w:val="single" w:sz="6" w:space="0" w:color="auto"/>
            </w:tcBorders>
          </w:tcPr>
          <w:p w14:paraId="0CBE5A3B"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JM/24/5 </w:t>
            </w:r>
          </w:p>
        </w:tc>
        <w:tc>
          <w:tcPr>
            <w:tcW w:w="833" w:type="pct"/>
            <w:tcBorders>
              <w:top w:val="single" w:sz="6" w:space="0" w:color="auto"/>
              <w:left w:val="single" w:sz="6" w:space="0" w:color="auto"/>
              <w:bottom w:val="single" w:sz="6" w:space="0" w:color="auto"/>
              <w:right w:val="single" w:sz="6" w:space="0" w:color="auto"/>
            </w:tcBorders>
          </w:tcPr>
          <w:p w14:paraId="7D984DEA"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Support research, knowledge transfer and monitoring activities on rewetting measures for farmed peat soils through the Midlands Carbon Catchment Study </w:t>
            </w:r>
          </w:p>
        </w:tc>
        <w:tc>
          <w:tcPr>
            <w:tcW w:w="833" w:type="pct"/>
            <w:tcBorders>
              <w:top w:val="single" w:sz="6" w:space="0" w:color="auto"/>
              <w:left w:val="single" w:sz="6" w:space="0" w:color="auto"/>
              <w:bottom w:val="single" w:sz="6" w:space="0" w:color="auto"/>
              <w:right w:val="single" w:sz="6" w:space="0" w:color="auto"/>
            </w:tcBorders>
          </w:tcPr>
          <w:p w14:paraId="56F20AF5"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Consortium appointed to deliver on the objectives of the Midlands Carbon Catchment Study (MCCS) </w:t>
            </w:r>
          </w:p>
        </w:tc>
        <w:tc>
          <w:tcPr>
            <w:tcW w:w="833" w:type="pct"/>
            <w:tcBorders>
              <w:top w:val="single" w:sz="6" w:space="0" w:color="auto"/>
              <w:left w:val="single" w:sz="6" w:space="0" w:color="auto"/>
              <w:bottom w:val="single" w:sz="6" w:space="0" w:color="auto"/>
              <w:right w:val="single" w:sz="6" w:space="0" w:color="auto"/>
            </w:tcBorders>
          </w:tcPr>
          <w:p w14:paraId="1E9B4A13"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Q4 2024 </w:t>
            </w:r>
          </w:p>
        </w:tc>
        <w:tc>
          <w:tcPr>
            <w:tcW w:w="833" w:type="pct"/>
            <w:tcBorders>
              <w:top w:val="single" w:sz="6" w:space="0" w:color="auto"/>
              <w:left w:val="single" w:sz="6" w:space="0" w:color="auto"/>
              <w:bottom w:val="single" w:sz="6" w:space="0" w:color="auto"/>
              <w:right w:val="single" w:sz="6" w:space="0" w:color="auto"/>
            </w:tcBorders>
          </w:tcPr>
          <w:p w14:paraId="4675720D"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Delayed </w:t>
            </w:r>
          </w:p>
        </w:tc>
        <w:tc>
          <w:tcPr>
            <w:tcW w:w="833" w:type="pct"/>
            <w:tcBorders>
              <w:top w:val="single" w:sz="6" w:space="0" w:color="auto"/>
              <w:left w:val="single" w:sz="6" w:space="0" w:color="auto"/>
              <w:bottom w:val="single" w:sz="6" w:space="0" w:color="auto"/>
              <w:right w:val="single" w:sz="6" w:space="0" w:color="auto"/>
            </w:tcBorders>
          </w:tcPr>
          <w:p w14:paraId="22A52A93"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action is progressing </w:t>
            </w:r>
          </w:p>
        </w:tc>
      </w:tr>
      <w:tr w:rsidR="00DE168C" w14:paraId="4BFBF555" w14:textId="77777777">
        <w:tc>
          <w:tcPr>
            <w:tcW w:w="833" w:type="pct"/>
            <w:tcBorders>
              <w:top w:val="single" w:sz="6" w:space="0" w:color="auto"/>
              <w:left w:val="single" w:sz="6" w:space="0" w:color="auto"/>
              <w:bottom w:val="single" w:sz="6" w:space="0" w:color="auto"/>
              <w:right w:val="single" w:sz="6" w:space="0" w:color="auto"/>
            </w:tcBorders>
          </w:tcPr>
          <w:p w14:paraId="1C42856F"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LU/24/4 </w:t>
            </w:r>
          </w:p>
        </w:tc>
        <w:tc>
          <w:tcPr>
            <w:tcW w:w="833" w:type="pct"/>
            <w:tcBorders>
              <w:top w:val="single" w:sz="6" w:space="0" w:color="auto"/>
              <w:left w:val="single" w:sz="6" w:space="0" w:color="auto"/>
              <w:bottom w:val="single" w:sz="6" w:space="0" w:color="auto"/>
              <w:right w:val="single" w:sz="6" w:space="0" w:color="auto"/>
            </w:tcBorders>
          </w:tcPr>
          <w:p w14:paraId="3F05ABF8"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Review the proposed measures detailed in the Teagasc MACC to determine which actions are possible to deliver sustainably across all land use types </w:t>
            </w:r>
          </w:p>
        </w:tc>
        <w:tc>
          <w:tcPr>
            <w:tcW w:w="833" w:type="pct"/>
            <w:tcBorders>
              <w:top w:val="single" w:sz="6" w:space="0" w:color="auto"/>
              <w:left w:val="single" w:sz="6" w:space="0" w:color="auto"/>
              <w:bottom w:val="single" w:sz="6" w:space="0" w:color="auto"/>
              <w:right w:val="single" w:sz="6" w:space="0" w:color="auto"/>
            </w:tcBorders>
          </w:tcPr>
          <w:p w14:paraId="57A32F38"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Report completed &amp; under consideration </w:t>
            </w:r>
          </w:p>
        </w:tc>
        <w:tc>
          <w:tcPr>
            <w:tcW w:w="833" w:type="pct"/>
            <w:tcBorders>
              <w:top w:val="single" w:sz="6" w:space="0" w:color="auto"/>
              <w:left w:val="single" w:sz="6" w:space="0" w:color="auto"/>
              <w:bottom w:val="single" w:sz="6" w:space="0" w:color="auto"/>
              <w:right w:val="single" w:sz="6" w:space="0" w:color="auto"/>
            </w:tcBorders>
          </w:tcPr>
          <w:p w14:paraId="2A57674A"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Q3 2024 </w:t>
            </w:r>
          </w:p>
        </w:tc>
        <w:tc>
          <w:tcPr>
            <w:tcW w:w="833" w:type="pct"/>
            <w:tcBorders>
              <w:top w:val="single" w:sz="6" w:space="0" w:color="auto"/>
              <w:left w:val="single" w:sz="6" w:space="0" w:color="auto"/>
              <w:bottom w:val="single" w:sz="6" w:space="0" w:color="auto"/>
              <w:right w:val="single" w:sz="6" w:space="0" w:color="auto"/>
            </w:tcBorders>
          </w:tcPr>
          <w:p w14:paraId="76224398"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Complete </w:t>
            </w:r>
          </w:p>
        </w:tc>
        <w:tc>
          <w:tcPr>
            <w:tcW w:w="833" w:type="pct"/>
            <w:tcBorders>
              <w:top w:val="single" w:sz="6" w:space="0" w:color="auto"/>
              <w:left w:val="single" w:sz="6" w:space="0" w:color="auto"/>
              <w:bottom w:val="single" w:sz="6" w:space="0" w:color="auto"/>
              <w:right w:val="single" w:sz="6" w:space="0" w:color="auto"/>
            </w:tcBorders>
          </w:tcPr>
          <w:p w14:paraId="1B880386"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Action Complete </w:t>
            </w:r>
          </w:p>
        </w:tc>
      </w:tr>
      <w:tr w:rsidR="00DE168C" w14:paraId="1596C4EE" w14:textId="77777777">
        <w:tc>
          <w:tcPr>
            <w:tcW w:w="833" w:type="pct"/>
            <w:tcBorders>
              <w:top w:val="single" w:sz="6" w:space="0" w:color="auto"/>
              <w:left w:val="single" w:sz="6" w:space="0" w:color="auto"/>
              <w:bottom w:val="single" w:sz="6" w:space="0" w:color="auto"/>
              <w:right w:val="single" w:sz="6" w:space="0" w:color="auto"/>
            </w:tcBorders>
          </w:tcPr>
          <w:p w14:paraId="1BFFACED"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AG/23/23 </w:t>
            </w:r>
          </w:p>
        </w:tc>
        <w:tc>
          <w:tcPr>
            <w:tcW w:w="833" w:type="pct"/>
            <w:tcBorders>
              <w:top w:val="single" w:sz="6" w:space="0" w:color="auto"/>
              <w:left w:val="single" w:sz="6" w:space="0" w:color="auto"/>
              <w:bottom w:val="single" w:sz="6" w:space="0" w:color="auto"/>
              <w:right w:val="single" w:sz="6" w:space="0" w:color="auto"/>
            </w:tcBorders>
          </w:tcPr>
          <w:p w14:paraId="3A99BAEB"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Consider the recommendations arising from the NESC report on Just Transition in Agriculture and develop suitable responding actions for inclusion in CAP 24. </w:t>
            </w:r>
          </w:p>
        </w:tc>
        <w:tc>
          <w:tcPr>
            <w:tcW w:w="833" w:type="pct"/>
            <w:tcBorders>
              <w:top w:val="single" w:sz="6" w:space="0" w:color="auto"/>
              <w:left w:val="single" w:sz="6" w:space="0" w:color="auto"/>
              <w:bottom w:val="single" w:sz="6" w:space="0" w:color="auto"/>
              <w:right w:val="single" w:sz="6" w:space="0" w:color="auto"/>
            </w:tcBorders>
          </w:tcPr>
          <w:p w14:paraId="36A49367"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Implementation Report with a focus on engagement, resources and policy. </w:t>
            </w:r>
          </w:p>
        </w:tc>
        <w:tc>
          <w:tcPr>
            <w:tcW w:w="833" w:type="pct"/>
            <w:tcBorders>
              <w:top w:val="single" w:sz="6" w:space="0" w:color="auto"/>
              <w:left w:val="single" w:sz="6" w:space="0" w:color="auto"/>
              <w:bottom w:val="single" w:sz="6" w:space="0" w:color="auto"/>
              <w:right w:val="single" w:sz="6" w:space="0" w:color="auto"/>
            </w:tcBorders>
          </w:tcPr>
          <w:p w14:paraId="62B79B93"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Q3 2023 Delayed </w:t>
            </w:r>
          </w:p>
        </w:tc>
        <w:tc>
          <w:tcPr>
            <w:tcW w:w="833" w:type="pct"/>
            <w:tcBorders>
              <w:top w:val="single" w:sz="6" w:space="0" w:color="auto"/>
              <w:left w:val="single" w:sz="6" w:space="0" w:color="auto"/>
              <w:bottom w:val="single" w:sz="6" w:space="0" w:color="auto"/>
              <w:right w:val="single" w:sz="6" w:space="0" w:color="auto"/>
            </w:tcBorders>
          </w:tcPr>
          <w:p w14:paraId="38D84958"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Complete </w:t>
            </w:r>
          </w:p>
        </w:tc>
        <w:tc>
          <w:tcPr>
            <w:tcW w:w="833" w:type="pct"/>
            <w:tcBorders>
              <w:top w:val="single" w:sz="6" w:space="0" w:color="auto"/>
              <w:left w:val="single" w:sz="6" w:space="0" w:color="auto"/>
              <w:bottom w:val="single" w:sz="6" w:space="0" w:color="auto"/>
              <w:right w:val="single" w:sz="6" w:space="0" w:color="auto"/>
            </w:tcBorders>
          </w:tcPr>
          <w:p w14:paraId="5C8280DF" w14:textId="77777777" w:rsidR="00DE168C" w:rsidRDefault="00DE168C">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Action Complete </w:t>
            </w:r>
          </w:p>
        </w:tc>
      </w:tr>
    </w:tbl>
    <w:p w14:paraId="46499994" w14:textId="77777777" w:rsidR="00BB4C2B" w:rsidRDefault="00BB4C2B"/>
    <w:sectPr w:rsidR="00BB4C2B" w:rsidSect="00DE168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altName w:val="Times New Roman"/>
    <w:panose1 w:val="02020603040505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20"/>
    <w:rsid w:val="00505E26"/>
    <w:rsid w:val="007021FF"/>
    <w:rsid w:val="007458A4"/>
    <w:rsid w:val="00955820"/>
    <w:rsid w:val="00BB4C2B"/>
    <w:rsid w:val="00DE168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421B0"/>
  <w15:chartTrackingRefBased/>
  <w15:docId w15:val="{59C68F0E-23C3-4372-A170-DEA5C4FB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820"/>
    <w:rPr>
      <w:rFonts w:eastAsiaTheme="majorEastAsia" w:cstheme="majorBidi"/>
      <w:color w:val="272727" w:themeColor="text1" w:themeTint="D8"/>
    </w:rPr>
  </w:style>
  <w:style w:type="paragraph" w:styleId="Title">
    <w:name w:val="Title"/>
    <w:basedOn w:val="Normal"/>
    <w:next w:val="Normal"/>
    <w:link w:val="TitleChar"/>
    <w:uiPriority w:val="10"/>
    <w:qFormat/>
    <w:rsid w:val="00955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820"/>
    <w:pPr>
      <w:spacing w:before="160"/>
      <w:jc w:val="center"/>
    </w:pPr>
    <w:rPr>
      <w:i/>
      <w:iCs/>
      <w:color w:val="404040" w:themeColor="text1" w:themeTint="BF"/>
    </w:rPr>
  </w:style>
  <w:style w:type="character" w:customStyle="1" w:styleId="QuoteChar">
    <w:name w:val="Quote Char"/>
    <w:basedOn w:val="DefaultParagraphFont"/>
    <w:link w:val="Quote"/>
    <w:uiPriority w:val="29"/>
    <w:rsid w:val="00955820"/>
    <w:rPr>
      <w:i/>
      <w:iCs/>
      <w:color w:val="404040" w:themeColor="text1" w:themeTint="BF"/>
    </w:rPr>
  </w:style>
  <w:style w:type="paragraph" w:styleId="ListParagraph">
    <w:name w:val="List Paragraph"/>
    <w:basedOn w:val="Normal"/>
    <w:uiPriority w:val="34"/>
    <w:qFormat/>
    <w:rsid w:val="00955820"/>
    <w:pPr>
      <w:ind w:left="720"/>
      <w:contextualSpacing/>
    </w:pPr>
  </w:style>
  <w:style w:type="character" w:styleId="IntenseEmphasis">
    <w:name w:val="Intense Emphasis"/>
    <w:basedOn w:val="DefaultParagraphFont"/>
    <w:uiPriority w:val="21"/>
    <w:qFormat/>
    <w:rsid w:val="00955820"/>
    <w:rPr>
      <w:i/>
      <w:iCs/>
      <w:color w:val="0F4761" w:themeColor="accent1" w:themeShade="BF"/>
    </w:rPr>
  </w:style>
  <w:style w:type="paragraph" w:styleId="IntenseQuote">
    <w:name w:val="Intense Quote"/>
    <w:basedOn w:val="Normal"/>
    <w:next w:val="Normal"/>
    <w:link w:val="IntenseQuoteChar"/>
    <w:uiPriority w:val="30"/>
    <w:qFormat/>
    <w:rsid w:val="00955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820"/>
    <w:rPr>
      <w:i/>
      <w:iCs/>
      <w:color w:val="0F4761" w:themeColor="accent1" w:themeShade="BF"/>
    </w:rPr>
  </w:style>
  <w:style w:type="character" w:styleId="IntenseReference">
    <w:name w:val="Intense Reference"/>
    <w:basedOn w:val="DefaultParagraphFont"/>
    <w:uiPriority w:val="32"/>
    <w:qFormat/>
    <w:rsid w:val="009558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426</Words>
  <Characters>2434</Characters>
  <Application>Microsoft Office Word</Application>
  <DocSecurity>0</DocSecurity>
  <Lines>20</Lines>
  <Paragraphs>5</Paragraphs>
  <ScaleCrop>false</ScaleCrop>
  <Company/>
  <LinksUpToDate>false</LinksUpToDate>
  <CharactersWithSpaces>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2025-12-18T14:15:00Z</dcterms:created>
  <dcterms:modified xsi:type="dcterms:W3CDTF">2025-12-18T14:16:00Z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2025-12-18T14:16:37Z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dfb31f55-cf8c-48f6-b495-ee66403a347c</vt:lpwstr>
  </property>
  <property fmtid="{D5CDD505-2E9C-101B-9397-08002B2CF9AE}" pid="8" name="MSIP_Label_a276e348-bda2-42ff-85d7-569ad34f2b3a_ContentBits">
    <vt:lpwstr>0</vt:lpwstr>
  </property>
</Properties>
</file>