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DFB9D" w14:textId="77777777" w:rsidR="00EA228F" w:rsidRDefault="00EA228F" w:rsidP="00EA228F">
      <w:pPr>
        <w:autoSpaceDE w:val="0"/>
        <w:autoSpaceDN w:val="0"/>
        <w:adjustRightInd w:val="0"/>
        <w:spacing w:after="0" w:line="240" w:lineRule="auto"/>
        <w:rPr>
          <w:rFonts w:ascii="Tms Rmn" w:hAnsi="Tms Rmn"/>
          <w:kern w:val="0"/>
          <w:sz w:val="24"/>
          <w:szCs w:val="24"/>
        </w:rPr>
      </w:pPr>
    </w:p>
    <w:tbl>
      <w:tblPr>
        <w:tblW w:w="5000" w:type="pct"/>
        <w:tblLayout w:type="fixed"/>
        <w:tblCellMar>
          <w:left w:w="0" w:type="dxa"/>
          <w:right w:w="0" w:type="dxa"/>
        </w:tblCellMar>
        <w:tblLook w:val="00A0" w:firstRow="1" w:lastRow="0" w:firstColumn="1" w:lastColumn="0" w:noHBand="0" w:noVBand="0"/>
      </w:tblPr>
      <w:tblGrid>
        <w:gridCol w:w="2789"/>
        <w:gridCol w:w="2789"/>
        <w:gridCol w:w="2788"/>
        <w:gridCol w:w="2788"/>
        <w:gridCol w:w="2788"/>
      </w:tblGrid>
      <w:tr w:rsidR="00034550" w14:paraId="022E725F" w14:textId="77777777">
        <w:tc>
          <w:tcPr>
            <w:tcW w:w="1000" w:type="pct"/>
            <w:tcBorders>
              <w:top w:val="single" w:sz="6" w:space="0" w:color="auto"/>
              <w:left w:val="single" w:sz="6" w:space="0" w:color="auto"/>
              <w:bottom w:val="single" w:sz="6" w:space="0" w:color="auto"/>
              <w:right w:val="single" w:sz="6" w:space="0" w:color="auto"/>
            </w:tcBorders>
          </w:tcPr>
          <w:p w14:paraId="7BFD8057" w14:textId="77777777" w:rsidR="00034550" w:rsidRDefault="00034550">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Action Number </w:t>
            </w:r>
          </w:p>
        </w:tc>
        <w:tc>
          <w:tcPr>
            <w:tcW w:w="1000" w:type="pct"/>
            <w:tcBorders>
              <w:top w:val="single" w:sz="6" w:space="0" w:color="auto"/>
              <w:left w:val="single" w:sz="6" w:space="0" w:color="auto"/>
              <w:bottom w:val="single" w:sz="6" w:space="0" w:color="auto"/>
              <w:right w:val="single" w:sz="6" w:space="0" w:color="auto"/>
            </w:tcBorders>
          </w:tcPr>
          <w:p w14:paraId="47319067" w14:textId="77777777" w:rsidR="00034550" w:rsidRDefault="00034550">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Actions </w:t>
            </w:r>
          </w:p>
        </w:tc>
        <w:tc>
          <w:tcPr>
            <w:tcW w:w="1000" w:type="pct"/>
            <w:tcBorders>
              <w:top w:val="single" w:sz="6" w:space="0" w:color="auto"/>
              <w:left w:val="single" w:sz="6" w:space="0" w:color="auto"/>
              <w:bottom w:val="single" w:sz="6" w:space="0" w:color="auto"/>
              <w:right w:val="single" w:sz="6" w:space="0" w:color="auto"/>
            </w:tcBorders>
          </w:tcPr>
          <w:p w14:paraId="537D9090" w14:textId="77777777" w:rsidR="00034550" w:rsidRDefault="00034550">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Output </w:t>
            </w:r>
          </w:p>
        </w:tc>
        <w:tc>
          <w:tcPr>
            <w:tcW w:w="1000" w:type="pct"/>
            <w:tcBorders>
              <w:top w:val="single" w:sz="6" w:space="0" w:color="auto"/>
              <w:left w:val="single" w:sz="6" w:space="0" w:color="auto"/>
              <w:bottom w:val="single" w:sz="6" w:space="0" w:color="auto"/>
              <w:right w:val="single" w:sz="6" w:space="0" w:color="auto"/>
            </w:tcBorders>
          </w:tcPr>
          <w:p w14:paraId="131FD9A7" w14:textId="77777777" w:rsidR="00034550" w:rsidRDefault="00034550">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Timeline </w:t>
            </w:r>
          </w:p>
        </w:tc>
        <w:tc>
          <w:tcPr>
            <w:tcW w:w="1000" w:type="pct"/>
            <w:tcBorders>
              <w:top w:val="single" w:sz="6" w:space="0" w:color="auto"/>
              <w:left w:val="single" w:sz="6" w:space="0" w:color="auto"/>
              <w:bottom w:val="single" w:sz="6" w:space="0" w:color="auto"/>
              <w:right w:val="single" w:sz="6" w:space="0" w:color="auto"/>
            </w:tcBorders>
          </w:tcPr>
          <w:p w14:paraId="47EDA061" w14:textId="77777777" w:rsidR="00034550" w:rsidRDefault="00034550">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Status </w:t>
            </w:r>
          </w:p>
        </w:tc>
      </w:tr>
      <w:tr w:rsidR="00034550" w14:paraId="73B2E100" w14:textId="77777777">
        <w:tc>
          <w:tcPr>
            <w:tcW w:w="1000" w:type="pct"/>
            <w:tcBorders>
              <w:top w:val="single" w:sz="6" w:space="0" w:color="auto"/>
              <w:left w:val="single" w:sz="6" w:space="0" w:color="auto"/>
              <w:bottom w:val="single" w:sz="6" w:space="0" w:color="auto"/>
              <w:right w:val="single" w:sz="6" w:space="0" w:color="auto"/>
            </w:tcBorders>
          </w:tcPr>
          <w:p w14:paraId="4AE664C7"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AG/25/1 </w:t>
            </w:r>
          </w:p>
        </w:tc>
        <w:tc>
          <w:tcPr>
            <w:tcW w:w="1000" w:type="pct"/>
            <w:tcBorders>
              <w:top w:val="single" w:sz="6" w:space="0" w:color="auto"/>
              <w:left w:val="single" w:sz="6" w:space="0" w:color="auto"/>
              <w:bottom w:val="single" w:sz="6" w:space="0" w:color="auto"/>
              <w:right w:val="single" w:sz="6" w:space="0" w:color="auto"/>
            </w:tcBorders>
          </w:tcPr>
          <w:p w14:paraId="03B4FDF7"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Launch a 60% grant-aided Nutrient Storage Scheme to support reduced reliance on chemical fertiliser </w:t>
            </w:r>
          </w:p>
        </w:tc>
        <w:tc>
          <w:tcPr>
            <w:tcW w:w="1000" w:type="pct"/>
            <w:tcBorders>
              <w:top w:val="single" w:sz="6" w:space="0" w:color="auto"/>
              <w:left w:val="single" w:sz="6" w:space="0" w:color="auto"/>
              <w:bottom w:val="single" w:sz="6" w:space="0" w:color="auto"/>
              <w:right w:val="single" w:sz="6" w:space="0" w:color="auto"/>
            </w:tcBorders>
          </w:tcPr>
          <w:p w14:paraId="517FA4C7"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Scheme launched in January 2025  </w:t>
            </w:r>
          </w:p>
        </w:tc>
        <w:tc>
          <w:tcPr>
            <w:tcW w:w="1000" w:type="pct"/>
            <w:tcBorders>
              <w:top w:val="single" w:sz="6" w:space="0" w:color="auto"/>
              <w:left w:val="single" w:sz="6" w:space="0" w:color="auto"/>
              <w:bottom w:val="single" w:sz="6" w:space="0" w:color="auto"/>
              <w:right w:val="single" w:sz="6" w:space="0" w:color="auto"/>
            </w:tcBorders>
          </w:tcPr>
          <w:p w14:paraId="28E13B0A"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Q1 2025 </w:t>
            </w:r>
          </w:p>
        </w:tc>
        <w:tc>
          <w:tcPr>
            <w:tcW w:w="1000" w:type="pct"/>
            <w:tcBorders>
              <w:top w:val="single" w:sz="6" w:space="0" w:color="auto"/>
              <w:left w:val="single" w:sz="6" w:space="0" w:color="auto"/>
              <w:bottom w:val="single" w:sz="6" w:space="0" w:color="auto"/>
              <w:right w:val="single" w:sz="6" w:space="0" w:color="auto"/>
            </w:tcBorders>
          </w:tcPr>
          <w:p w14:paraId="63A2B2D1"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Complete </w:t>
            </w:r>
          </w:p>
        </w:tc>
      </w:tr>
      <w:tr w:rsidR="00034550" w14:paraId="22F5BF8F" w14:textId="77777777">
        <w:tc>
          <w:tcPr>
            <w:tcW w:w="1000" w:type="pct"/>
            <w:tcBorders>
              <w:top w:val="single" w:sz="6" w:space="0" w:color="auto"/>
              <w:left w:val="single" w:sz="6" w:space="0" w:color="auto"/>
              <w:bottom w:val="single" w:sz="6" w:space="0" w:color="auto"/>
              <w:right w:val="single" w:sz="6" w:space="0" w:color="auto"/>
            </w:tcBorders>
          </w:tcPr>
          <w:p w14:paraId="306EBE7A"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AG/25/2 </w:t>
            </w:r>
          </w:p>
        </w:tc>
        <w:tc>
          <w:tcPr>
            <w:tcW w:w="1000" w:type="pct"/>
            <w:tcBorders>
              <w:top w:val="single" w:sz="6" w:space="0" w:color="auto"/>
              <w:left w:val="single" w:sz="6" w:space="0" w:color="auto"/>
              <w:bottom w:val="single" w:sz="6" w:space="0" w:color="auto"/>
              <w:right w:val="single" w:sz="6" w:space="0" w:color="auto"/>
            </w:tcBorders>
          </w:tcPr>
          <w:p w14:paraId="238E235E"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Reduce the maximum allowable crude protein in concentrates fed to adult cattle at grass to 14% during the period between 15th April and 30th September </w:t>
            </w:r>
          </w:p>
        </w:tc>
        <w:tc>
          <w:tcPr>
            <w:tcW w:w="1000" w:type="pct"/>
            <w:tcBorders>
              <w:top w:val="single" w:sz="6" w:space="0" w:color="auto"/>
              <w:left w:val="single" w:sz="6" w:space="0" w:color="auto"/>
              <w:bottom w:val="single" w:sz="6" w:space="0" w:color="auto"/>
              <w:right w:val="single" w:sz="6" w:space="0" w:color="auto"/>
            </w:tcBorders>
          </w:tcPr>
          <w:p w14:paraId="1EEF86D8"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Amendment to the Good Agriculture Practice for the Protection of Waters (GAP) Regulations. On 25th February 2025, SI No. 42 of 2025 came into effect.  This amended SI 113 of 2022 to reduce the maximum allowable crude protein in concentrates fed to adult cattle at grass to 14% during the period between 15th April and 30th September.  </w:t>
            </w:r>
          </w:p>
        </w:tc>
        <w:tc>
          <w:tcPr>
            <w:tcW w:w="1000" w:type="pct"/>
            <w:tcBorders>
              <w:top w:val="single" w:sz="6" w:space="0" w:color="auto"/>
              <w:left w:val="single" w:sz="6" w:space="0" w:color="auto"/>
              <w:bottom w:val="single" w:sz="6" w:space="0" w:color="auto"/>
              <w:right w:val="single" w:sz="6" w:space="0" w:color="auto"/>
            </w:tcBorders>
          </w:tcPr>
          <w:p w14:paraId="6614E110"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Q1 2025 </w:t>
            </w:r>
          </w:p>
        </w:tc>
        <w:tc>
          <w:tcPr>
            <w:tcW w:w="1000" w:type="pct"/>
            <w:tcBorders>
              <w:top w:val="single" w:sz="6" w:space="0" w:color="auto"/>
              <w:left w:val="single" w:sz="6" w:space="0" w:color="auto"/>
              <w:bottom w:val="single" w:sz="6" w:space="0" w:color="auto"/>
              <w:right w:val="single" w:sz="6" w:space="0" w:color="auto"/>
            </w:tcBorders>
          </w:tcPr>
          <w:p w14:paraId="4A0AFF6C" w14:textId="77777777" w:rsidR="00034550" w:rsidRDefault="0003455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Complete</w:t>
            </w:r>
          </w:p>
        </w:tc>
      </w:tr>
    </w:tbl>
    <w:p w14:paraId="50F75CC6" w14:textId="77777777" w:rsidR="00BB4C2B" w:rsidRDefault="00BB4C2B"/>
    <w:sectPr w:rsidR="00BB4C2B" w:rsidSect="000345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02C"/>
    <w:rsid w:val="00034550"/>
    <w:rsid w:val="00275F6F"/>
    <w:rsid w:val="005917CD"/>
    <w:rsid w:val="007021FF"/>
    <w:rsid w:val="007458A4"/>
    <w:rsid w:val="00AE202C"/>
    <w:rsid w:val="00BB4C2B"/>
    <w:rsid w:val="00D30898"/>
    <w:rsid w:val="00EA228F"/>
    <w:rsid w:val="00ED75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EE50"/>
  <w15:chartTrackingRefBased/>
  <w15:docId w15:val="{1B92F643-3545-4764-BD54-690590049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02C"/>
    <w:rPr>
      <w:rFonts w:eastAsiaTheme="majorEastAsia" w:cstheme="majorBidi"/>
      <w:color w:val="272727" w:themeColor="text1" w:themeTint="D8"/>
    </w:rPr>
  </w:style>
  <w:style w:type="paragraph" w:styleId="Title">
    <w:name w:val="Title"/>
    <w:basedOn w:val="Normal"/>
    <w:next w:val="Normal"/>
    <w:link w:val="TitleChar"/>
    <w:uiPriority w:val="10"/>
    <w:qFormat/>
    <w:rsid w:val="00AE2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02C"/>
    <w:pPr>
      <w:spacing w:before="160"/>
      <w:jc w:val="center"/>
    </w:pPr>
    <w:rPr>
      <w:i/>
      <w:iCs/>
      <w:color w:val="404040" w:themeColor="text1" w:themeTint="BF"/>
    </w:rPr>
  </w:style>
  <w:style w:type="character" w:customStyle="1" w:styleId="QuoteChar">
    <w:name w:val="Quote Char"/>
    <w:basedOn w:val="DefaultParagraphFont"/>
    <w:link w:val="Quote"/>
    <w:uiPriority w:val="29"/>
    <w:rsid w:val="00AE202C"/>
    <w:rPr>
      <w:i/>
      <w:iCs/>
      <w:color w:val="404040" w:themeColor="text1" w:themeTint="BF"/>
    </w:rPr>
  </w:style>
  <w:style w:type="paragraph" w:styleId="ListParagraph">
    <w:name w:val="List Paragraph"/>
    <w:basedOn w:val="Normal"/>
    <w:uiPriority w:val="34"/>
    <w:qFormat/>
    <w:rsid w:val="00AE202C"/>
    <w:pPr>
      <w:ind w:left="720"/>
      <w:contextualSpacing/>
    </w:pPr>
  </w:style>
  <w:style w:type="character" w:styleId="IntenseEmphasis">
    <w:name w:val="Intense Emphasis"/>
    <w:basedOn w:val="DefaultParagraphFont"/>
    <w:uiPriority w:val="21"/>
    <w:qFormat/>
    <w:rsid w:val="00AE202C"/>
    <w:rPr>
      <w:i/>
      <w:iCs/>
      <w:color w:val="0F4761" w:themeColor="accent1" w:themeShade="BF"/>
    </w:rPr>
  </w:style>
  <w:style w:type="paragraph" w:styleId="IntenseQuote">
    <w:name w:val="Intense Quote"/>
    <w:basedOn w:val="Normal"/>
    <w:next w:val="Normal"/>
    <w:link w:val="IntenseQuoteChar"/>
    <w:uiPriority w:val="30"/>
    <w:qFormat/>
    <w:rsid w:val="00AE2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02C"/>
    <w:rPr>
      <w:i/>
      <w:iCs/>
      <w:color w:val="0F4761" w:themeColor="accent1" w:themeShade="BF"/>
    </w:rPr>
  </w:style>
  <w:style w:type="character" w:styleId="IntenseReference">
    <w:name w:val="Intense Reference"/>
    <w:basedOn w:val="DefaultParagraphFont"/>
    <w:uiPriority w:val="32"/>
    <w:qFormat/>
    <w:rsid w:val="00AE20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4</cp:revision>
  <dcterms:created xsi:type="dcterms:W3CDTF">2025-12-18T10:55:00Z</dcterms:created>
  <dcterms:modified xsi:type="dcterms:W3CDTF">2025-12-18T14:16:00Z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2025-12-18T10:56:37Z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0dbce3aa-b756-4b91-8568-8d53b432efa5</vt:lpwstr>
  </property>
  <property fmtid="{D5CDD505-2E9C-101B-9397-08002B2CF9AE}" pid="8" name="MSIP_Label_a276e348-bda2-42ff-85d7-569ad34f2b3a_ContentBits">
    <vt:lpwstr>0</vt:lpwstr>
  </property>
</Properties>
</file>