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6720F"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To ask the Minister for Climate; Energy and the Environment the progress made over the past 12 months on each of his Department’s Programme for Government commitments, in tabular form; and if he will make a statement on the matter.</w:t>
      </w:r>
    </w:p>
    <w:p w14:paraId="3BC27D25"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Frankie Feighan.</w:t>
      </w:r>
    </w:p>
    <w:p w14:paraId="2F47CA29"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 For Written answer on 02/12/2025</w:t>
      </w:r>
      <w:r w:rsidRPr="00491CB0">
        <w:rPr>
          <w:rFonts w:ascii="Times New Roman" w:hAnsi="Times New Roman" w:cs="Times New Roman"/>
          <w:b/>
          <w:bCs/>
          <w:sz w:val="30"/>
          <w:szCs w:val="30"/>
        </w:rPr>
        <w:br/>
      </w:r>
      <w:r w:rsidRPr="00491CB0">
        <w:rPr>
          <w:rFonts w:ascii="Times New Roman" w:hAnsi="Times New Roman" w:cs="Times New Roman"/>
          <w:b/>
          <w:bCs/>
          <w:sz w:val="30"/>
          <w:szCs w:val="30"/>
        </w:rPr>
        <w:br/>
        <w:t>Ref No: 67817/25</w:t>
      </w:r>
    </w:p>
    <w:p w14:paraId="702358F0" w14:textId="77777777" w:rsidR="00491CB0" w:rsidRPr="00491CB0" w:rsidRDefault="00491CB0" w:rsidP="00491CB0">
      <w:pPr>
        <w:ind w:left="567"/>
        <w:rPr>
          <w:rFonts w:ascii="Times New Roman" w:hAnsi="Times New Roman" w:cs="Times New Roman"/>
          <w:sz w:val="30"/>
          <w:szCs w:val="30"/>
          <w:u w:val="single"/>
        </w:rPr>
      </w:pPr>
      <w:r w:rsidRPr="00491CB0">
        <w:rPr>
          <w:rFonts w:ascii="Times New Roman" w:hAnsi="Times New Roman" w:cs="Times New Roman"/>
          <w:sz w:val="30"/>
          <w:szCs w:val="30"/>
          <w:u w:val="single"/>
        </w:rPr>
        <w:t>Reply</w:t>
      </w:r>
    </w:p>
    <w:p w14:paraId="1717EB6C" w14:textId="77777777" w:rsidR="00491CB0" w:rsidRPr="00491CB0" w:rsidRDefault="00491CB0" w:rsidP="00491CB0">
      <w:pPr>
        <w:ind w:left="567"/>
        <w:rPr>
          <w:rFonts w:ascii="Times New Roman" w:hAnsi="Times New Roman" w:cs="Times New Roman"/>
          <w:b/>
          <w:bCs/>
          <w:sz w:val="30"/>
          <w:szCs w:val="30"/>
        </w:rPr>
      </w:pPr>
      <w:r w:rsidRPr="00491CB0">
        <w:rPr>
          <w:rFonts w:ascii="Times New Roman" w:hAnsi="Times New Roman" w:cs="Times New Roman"/>
          <w:b/>
          <w:bCs/>
          <w:sz w:val="30"/>
          <w:szCs w:val="30"/>
        </w:rPr>
        <w:t>Minister for Climate, Energy and the Environment (Darragh O'Brien)</w:t>
      </w:r>
    </w:p>
    <w:p w14:paraId="0BAF4802" w14:textId="2B3D5CD6" w:rsidR="00491CB0" w:rsidRPr="00491CB0" w:rsidRDefault="00491CB0" w:rsidP="00491CB0">
      <w:pPr>
        <w:spacing w:line="360" w:lineRule="auto"/>
        <w:ind w:left="567"/>
        <w:rPr>
          <w:rFonts w:ascii="Times New Roman" w:hAnsi="Times New Roman" w:cs="Times New Roman"/>
          <w:sz w:val="30"/>
          <w:szCs w:val="30"/>
        </w:rPr>
      </w:pPr>
    </w:p>
    <w:p w14:paraId="5E6A29ED" w14:textId="1076A184"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The attached table sets out the progress made on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Programme for Government (</w:t>
      </w:r>
      <w:proofErr w:type="spellStart"/>
      <w:r w:rsidRPr="00491CB0">
        <w:rPr>
          <w:rFonts w:ascii="Times New Roman" w:hAnsi="Times New Roman" w:cs="Times New Roman"/>
          <w:sz w:val="30"/>
          <w:szCs w:val="30"/>
        </w:rPr>
        <w:t>PfG</w:t>
      </w:r>
      <w:proofErr w:type="spellEnd"/>
      <w:r w:rsidRPr="00491CB0">
        <w:rPr>
          <w:rFonts w:ascii="Times New Roman" w:hAnsi="Times New Roman" w:cs="Times New Roman"/>
          <w:sz w:val="30"/>
          <w:szCs w:val="30"/>
        </w:rPr>
        <w:t xml:space="preserve">) commitments under the remit of the Department of Climate, Energy and the Environment, over the past 12 months. The </w:t>
      </w:r>
      <w:r w:rsidR="00E40D1F">
        <w:rPr>
          <w:rFonts w:ascii="Times New Roman" w:hAnsi="Times New Roman" w:cs="Times New Roman"/>
          <w:sz w:val="30"/>
          <w:szCs w:val="30"/>
        </w:rPr>
        <w:t xml:space="preserve">key </w:t>
      </w:r>
      <w:proofErr w:type="spellStart"/>
      <w:r w:rsidRPr="00491CB0">
        <w:rPr>
          <w:rFonts w:ascii="Times New Roman" w:hAnsi="Times New Roman" w:cs="Times New Roman"/>
          <w:sz w:val="30"/>
          <w:szCs w:val="30"/>
        </w:rPr>
        <w:t>PfG</w:t>
      </w:r>
      <w:proofErr w:type="spellEnd"/>
      <w:r w:rsidRPr="00491CB0">
        <w:rPr>
          <w:rFonts w:ascii="Times New Roman" w:hAnsi="Times New Roman" w:cs="Times New Roman"/>
          <w:sz w:val="30"/>
          <w:szCs w:val="30"/>
        </w:rPr>
        <w:t xml:space="preserve"> commitments are grouped, as appropriate, to the relevant goals from the Department’s Statement of Strategy, Le Chéile 28, which was published in September 2025.  These strategic goals are strongly aligned to the </w:t>
      </w:r>
      <w:r w:rsidR="000B25AA">
        <w:rPr>
          <w:rFonts w:ascii="Times New Roman" w:hAnsi="Times New Roman" w:cs="Times New Roman"/>
          <w:sz w:val="30"/>
          <w:szCs w:val="30"/>
        </w:rPr>
        <w:t xml:space="preserve">key </w:t>
      </w:r>
      <w:r w:rsidRPr="00491CB0">
        <w:rPr>
          <w:rFonts w:ascii="Times New Roman" w:hAnsi="Times New Roman" w:cs="Times New Roman"/>
          <w:sz w:val="30"/>
          <w:szCs w:val="30"/>
        </w:rPr>
        <w:t xml:space="preserve">commitments in the Programme for Government 2025. </w:t>
      </w:r>
    </w:p>
    <w:p w14:paraId="29D74197" w14:textId="429F073D" w:rsidR="00491CB0" w:rsidRPr="00491CB0" w:rsidRDefault="00491CB0" w:rsidP="00491CB0">
      <w:pPr>
        <w:spacing w:line="360" w:lineRule="auto"/>
        <w:ind w:left="567"/>
        <w:rPr>
          <w:rFonts w:ascii="Times New Roman" w:hAnsi="Times New Roman" w:cs="Times New Roman"/>
          <w:sz w:val="30"/>
          <w:szCs w:val="30"/>
        </w:rPr>
      </w:pPr>
      <w:r w:rsidRPr="00491CB0">
        <w:rPr>
          <w:rFonts w:ascii="Times New Roman" w:hAnsi="Times New Roman" w:cs="Times New Roman"/>
          <w:sz w:val="30"/>
          <w:szCs w:val="30"/>
        </w:rPr>
        <w:t xml:space="preserve">Significant progress has been made against </w:t>
      </w:r>
      <w:r w:rsidR="00E40D1F">
        <w:rPr>
          <w:rFonts w:ascii="Times New Roman" w:hAnsi="Times New Roman" w:cs="Times New Roman"/>
          <w:sz w:val="30"/>
          <w:szCs w:val="30"/>
        </w:rPr>
        <w:t>key</w:t>
      </w:r>
      <w:r w:rsidRPr="00491CB0">
        <w:rPr>
          <w:rFonts w:ascii="Times New Roman" w:hAnsi="Times New Roman" w:cs="Times New Roman"/>
          <w:sz w:val="30"/>
          <w:szCs w:val="30"/>
        </w:rPr>
        <w:t xml:space="preserve"> Programme for Government commitments under the remit of my Department in 2025, and the Department will continue our critical work to ensure the future successful delivery of commitments. The progress made by my Department in delivering on the Statement of Strategy, including the implementation of </w:t>
      </w:r>
      <w:r w:rsidR="00E40D1F">
        <w:rPr>
          <w:rFonts w:ascii="Times New Roman" w:hAnsi="Times New Roman" w:cs="Times New Roman"/>
          <w:sz w:val="30"/>
          <w:szCs w:val="30"/>
        </w:rPr>
        <w:t xml:space="preserve">key </w:t>
      </w:r>
      <w:r w:rsidRPr="00491CB0">
        <w:rPr>
          <w:rFonts w:ascii="Times New Roman" w:hAnsi="Times New Roman" w:cs="Times New Roman"/>
          <w:sz w:val="30"/>
          <w:szCs w:val="30"/>
        </w:rPr>
        <w:t>Programme for Government commitments, is captured in Annual Reports which are available on gov.ie. </w:t>
      </w:r>
    </w:p>
    <w:p w14:paraId="41FC0530" w14:textId="77777777" w:rsidR="00491CB0" w:rsidRPr="00491CB0" w:rsidRDefault="00491CB0" w:rsidP="00491CB0">
      <w:pPr>
        <w:spacing w:line="360" w:lineRule="auto"/>
      </w:pPr>
    </w:p>
    <w:p w14:paraId="418489B2" w14:textId="77777777" w:rsidR="00491CB0" w:rsidRDefault="00491CB0" w:rsidP="00491CB0">
      <w:pPr>
        <w:spacing w:line="360" w:lineRule="auto"/>
      </w:pPr>
      <w:r>
        <w:br w:type="page"/>
      </w:r>
    </w:p>
    <w:tbl>
      <w:tblPr>
        <w:tblW w:w="10347"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10"/>
        <w:gridCol w:w="2267"/>
        <w:gridCol w:w="6237"/>
      </w:tblGrid>
      <w:tr w:rsidR="002432CE" w:rsidRPr="00E25D07" w14:paraId="147C8D17" w14:textId="23C27485" w:rsidTr="00B673B9">
        <w:trPr>
          <w:trHeight w:val="1875"/>
        </w:trPr>
        <w:tc>
          <w:tcPr>
            <w:tcW w:w="1833" w:type="dxa"/>
            <w:tcBorders>
              <w:top w:val="nil"/>
            </w:tcBorders>
            <w:shd w:val="clear" w:color="000000" w:fill="004D42"/>
            <w:vAlign w:val="center"/>
          </w:tcPr>
          <w:p w14:paraId="73DAAF50" w14:textId="478B2E85"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lastRenderedPageBreak/>
              <w:t>Strategic Goal</w:t>
            </w:r>
          </w:p>
        </w:tc>
        <w:tc>
          <w:tcPr>
            <w:tcW w:w="2277" w:type="dxa"/>
            <w:gridSpan w:val="2"/>
            <w:tcBorders>
              <w:top w:val="nil"/>
            </w:tcBorders>
            <w:shd w:val="clear" w:color="auto" w:fill="004D42"/>
            <w:vAlign w:val="center"/>
          </w:tcPr>
          <w:p w14:paraId="231558A9" w14:textId="5B19FE72" w:rsidR="002432CE" w:rsidRPr="00E25D07" w:rsidRDefault="002432CE" w:rsidP="008D66D1">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Programme for Government Commitments</w:t>
            </w:r>
          </w:p>
        </w:tc>
        <w:tc>
          <w:tcPr>
            <w:tcW w:w="6237" w:type="dxa"/>
            <w:tcBorders>
              <w:top w:val="nil"/>
            </w:tcBorders>
            <w:shd w:val="clear" w:color="auto" w:fill="004D42"/>
            <w:vAlign w:val="center"/>
          </w:tcPr>
          <w:p w14:paraId="75FCD2E7" w14:textId="2247BCE6" w:rsidR="002432CE" w:rsidRPr="00E25D07" w:rsidRDefault="002432CE" w:rsidP="007F7903">
            <w:pPr>
              <w:spacing w:after="0" w:line="240" w:lineRule="auto"/>
              <w:jc w:val="center"/>
              <w:rPr>
                <w:rFonts w:ascii="Times New Roman" w:eastAsia="Times New Roman" w:hAnsi="Times New Roman" w:cs="Times New Roman"/>
                <w:b/>
                <w:bCs/>
                <w:color w:val="FFFFFF"/>
                <w:kern w:val="0"/>
                <w:sz w:val="24"/>
                <w:szCs w:val="24"/>
                <w:lang w:eastAsia="en-IE"/>
                <w14:ligatures w14:val="none"/>
              </w:rPr>
            </w:pPr>
            <w:r w:rsidRPr="00E25D07">
              <w:rPr>
                <w:rFonts w:ascii="Times New Roman" w:eastAsia="Times New Roman" w:hAnsi="Times New Roman" w:cs="Times New Roman"/>
                <w:b/>
                <w:bCs/>
                <w:color w:val="FFFFFF"/>
                <w:kern w:val="0"/>
                <w:sz w:val="24"/>
                <w:szCs w:val="24"/>
                <w:lang w:eastAsia="en-IE"/>
                <w14:ligatures w14:val="none"/>
              </w:rPr>
              <w:t>Section Progress Update</w:t>
            </w:r>
          </w:p>
        </w:tc>
      </w:tr>
      <w:tr w:rsidR="00690AF2" w:rsidRPr="00E25D07" w14:paraId="077B1402" w14:textId="77777777" w:rsidTr="00690AF2">
        <w:trPr>
          <w:trHeight w:val="2028"/>
        </w:trPr>
        <w:tc>
          <w:tcPr>
            <w:tcW w:w="1833" w:type="dxa"/>
            <w:vMerge w:val="restart"/>
          </w:tcPr>
          <w:p w14:paraId="1373A2F2" w14:textId="7514111F"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t>"Advance our climate, energy and environment objectives through effective EU and international leadership, engagement and collaboration"​</w:t>
            </w:r>
          </w:p>
        </w:tc>
        <w:tc>
          <w:tcPr>
            <w:tcW w:w="2277" w:type="dxa"/>
            <w:gridSpan w:val="2"/>
            <w:vAlign w:val="center"/>
          </w:tcPr>
          <w:p w14:paraId="563ED882" w14:textId="71EEA1C2"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Fast-Track Offshore Wind Development by prioritising the publication of Designated Maritime Area Plans (DMAPs) </w:t>
            </w:r>
          </w:p>
        </w:tc>
        <w:tc>
          <w:tcPr>
            <w:tcW w:w="6237" w:type="dxa"/>
            <w:vAlign w:val="center"/>
          </w:tcPr>
          <w:p w14:paraId="4404CEB7" w14:textId="7D75FA5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National DMAP will be a spatial plan for offshore renewable energy delivered through the marine spatial planning process. The Plan will designate sites sufficient to deliver 20GW renewable energy by 2040. The development of the National DMAP is on track with work progressing in line with key miles milestones and timelines set out. Notably, the DMAP Proposal and Public Participation Statement have been prepared and published. Development of the decision support tool assisted by experts in the Marine Institute is ongoing and key interdepartmental consultation meetings are taking place.</w:t>
            </w:r>
          </w:p>
        </w:tc>
      </w:tr>
      <w:tr w:rsidR="00690AF2" w:rsidRPr="00E25D07" w14:paraId="52698DCA" w14:textId="77777777" w:rsidTr="00690AF2">
        <w:trPr>
          <w:trHeight w:val="2026"/>
        </w:trPr>
        <w:tc>
          <w:tcPr>
            <w:tcW w:w="1833" w:type="dxa"/>
            <w:vMerge/>
          </w:tcPr>
          <w:p w14:paraId="57B27FD5"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75DEFEEB" w14:textId="5F9B4274"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Set ambitious targets to reduce greenhouse gas emissions by 2040 and ensure we have the correct mix of incentives and regulations.</w:t>
            </w:r>
          </w:p>
        </w:tc>
        <w:tc>
          <w:tcPr>
            <w:tcW w:w="6237" w:type="dxa"/>
            <w:vMerge w:val="restart"/>
            <w:vAlign w:val="center"/>
          </w:tcPr>
          <w:p w14:paraId="182C7B36"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The Council of the EU agreed a general approach on an EU-wide 2040 greenhouse gas emissions reduction target, and as of 1 December 2025 will enter trilogue negotiations with the European Parliament. After these negotiations discussions on Member State level targets will commence.</w:t>
            </w:r>
          </w:p>
          <w:p w14:paraId="7D7F842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1FFCEB10" w14:textId="1B05C60A"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 xml:space="preserve">Ireland published a dedicated Climate Finance Roadmap in 2022 to guide the scaling up of climate finance following a pledge at COP26 in 2021 to provide at least €225 million per year by 2025 in international climate finance. This target is expected to </w:t>
            </w:r>
            <w:r w:rsidR="00491CB0">
              <w:rPr>
                <w:rFonts w:ascii="Times New Roman" w:eastAsia="Times New Roman" w:hAnsi="Times New Roman" w:cs="Times New Roman"/>
                <w:color w:val="000000"/>
                <w:kern w:val="0"/>
                <w:sz w:val="24"/>
                <w:szCs w:val="24"/>
                <w:lang w:eastAsia="en-IE"/>
                <w14:ligatures w14:val="none"/>
              </w:rPr>
              <w:t>b</w:t>
            </w:r>
            <w:r w:rsidRPr="00690AF2">
              <w:rPr>
                <w:rFonts w:ascii="Times New Roman" w:eastAsia="Times New Roman" w:hAnsi="Times New Roman" w:cs="Times New Roman"/>
                <w:color w:val="000000"/>
                <w:kern w:val="0"/>
                <w:sz w:val="24"/>
                <w:szCs w:val="24"/>
                <w:lang w:eastAsia="en-IE"/>
                <w14:ligatures w14:val="none"/>
              </w:rPr>
              <w:t xml:space="preserve">e met this year on schedule. </w:t>
            </w:r>
          </w:p>
          <w:p w14:paraId="44D28F11" w14:textId="77777777" w:rsidR="00690AF2" w:rsidRPr="00690AF2"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06E676D5" w14:textId="5CC7593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690AF2">
              <w:rPr>
                <w:rFonts w:ascii="Times New Roman" w:eastAsia="Times New Roman" w:hAnsi="Times New Roman" w:cs="Times New Roman"/>
                <w:color w:val="000000"/>
                <w:kern w:val="0"/>
                <w:sz w:val="24"/>
                <w:szCs w:val="24"/>
                <w:lang w:eastAsia="en-IE"/>
                <w14:ligatures w14:val="none"/>
              </w:rPr>
              <w:t>Ireland’s climate finance is provided by four government departments – Department of Foreign Affairs and Trade, Department of Finance, Department of Climate, Energy and the Environment and the Department of Agriculture, Food, and the Marine. In 2025, the Department of Climate, Energy and the Environment is expected to provide just above €24million of this climate finance.</w:t>
            </w:r>
          </w:p>
        </w:tc>
      </w:tr>
      <w:tr w:rsidR="00690AF2" w:rsidRPr="00E25D07" w14:paraId="448D7BE2" w14:textId="77777777" w:rsidTr="00690AF2">
        <w:trPr>
          <w:trHeight w:val="2026"/>
        </w:trPr>
        <w:tc>
          <w:tcPr>
            <w:tcW w:w="1833" w:type="dxa"/>
            <w:vMerge/>
          </w:tcPr>
          <w:p w14:paraId="36715201"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77" w:type="dxa"/>
            <w:gridSpan w:val="2"/>
            <w:vAlign w:val="center"/>
          </w:tcPr>
          <w:p w14:paraId="3463BF1D" w14:textId="17E30856"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Ensure there is continued support for climate finance delivered through Ireland’s Overseas Development Aid programme.</w:t>
            </w:r>
          </w:p>
        </w:tc>
        <w:tc>
          <w:tcPr>
            <w:tcW w:w="6237" w:type="dxa"/>
            <w:vMerge/>
            <w:vAlign w:val="center"/>
          </w:tcPr>
          <w:p w14:paraId="71A791B3"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6914D617" w14:textId="7F33D7C8" w:rsidTr="00B673B9">
        <w:trPr>
          <w:trHeight w:val="289"/>
        </w:trPr>
        <w:tc>
          <w:tcPr>
            <w:tcW w:w="1833" w:type="dxa"/>
            <w:vMerge w:val="restart"/>
            <w:hideMark/>
          </w:tcPr>
          <w:p w14:paraId="7701547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"Accelerate climate action and prepare Ireland for the impacts of a changing climate"</w:t>
            </w:r>
          </w:p>
        </w:tc>
        <w:tc>
          <w:tcPr>
            <w:tcW w:w="2277" w:type="dxa"/>
            <w:gridSpan w:val="2"/>
            <w:vAlign w:val="center"/>
          </w:tcPr>
          <w:p w14:paraId="3D57B703" w14:textId="5CB486D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Deliver actions to achieve a 51% reduction in emissions from 2018 to 2030 and net-zero emissions no later than 2050.</w:t>
            </w:r>
          </w:p>
        </w:tc>
        <w:tc>
          <w:tcPr>
            <w:tcW w:w="6237" w:type="dxa"/>
            <w:vMerge w:val="restart"/>
            <w:vAlign w:val="center"/>
          </w:tcPr>
          <w:p w14:paraId="7307AA6D" w14:textId="503845E0"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The Department operates a delivery-focussed approach to climate governance and has revised how it can support the implementation of the measures and actions in the Climate Action Plans. As part of updated governance arrangements, the Minister has taken up the role of Chair of the Climate Action Delivery Board (CADB), providing direct oversight of this Board, which comprises the heads of the relevant Government Departments. The first meeting of the updated CADB is scheduled for December 2025.</w:t>
            </w:r>
          </w:p>
          <w:p w14:paraId="034CF596"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p w14:paraId="242452EA" w14:textId="4F5D981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color w:val="000000"/>
                <w:kern w:val="0"/>
                <w:sz w:val="24"/>
                <w:szCs w:val="24"/>
                <w:lang w:eastAsia="en-IE"/>
                <w14:ligatures w14:val="none"/>
              </w:rPr>
              <w:t xml:space="preserve">To provide enhanced and co-ordinated oversight and strategic direction on the delivery of the Climate Action Plan, the Climate Action Programme Board (CAPPB) has also been </w:t>
            </w:r>
            <w:r w:rsidRPr="002432CE">
              <w:rPr>
                <w:rFonts w:ascii="Times New Roman" w:eastAsia="Times New Roman" w:hAnsi="Times New Roman" w:cs="Times New Roman"/>
                <w:color w:val="000000"/>
                <w:kern w:val="0"/>
                <w:sz w:val="24"/>
                <w:szCs w:val="24"/>
                <w:lang w:eastAsia="en-IE"/>
                <w14:ligatures w14:val="none"/>
              </w:rPr>
              <w:lastRenderedPageBreak/>
              <w:t>established. The Assistant Secretary level Programme Board brings together the chairs of the various climate delivery taskforces from across sectors to bring an overall cohesion and alignment to climate action. It has met three times this year and is focussed on the delivery of High Impact Climate Mitigation Actions.</w:t>
            </w:r>
          </w:p>
          <w:p w14:paraId="02EA1B35" w14:textId="08221961"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703B4ABD" w14:textId="6A2263FE" w:rsidTr="00B673B9">
        <w:trPr>
          <w:trHeight w:val="289"/>
        </w:trPr>
        <w:tc>
          <w:tcPr>
            <w:tcW w:w="1833" w:type="dxa"/>
            <w:vMerge/>
            <w:hideMark/>
          </w:tcPr>
          <w:p w14:paraId="5F660E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00484993" w14:textId="53E2B98D"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Strengthen the delivery structures to deliver the Climate Action Plan through the Climate Action Delivery Board.</w:t>
            </w:r>
          </w:p>
        </w:tc>
        <w:tc>
          <w:tcPr>
            <w:tcW w:w="6237" w:type="dxa"/>
            <w:vMerge/>
            <w:vAlign w:val="center"/>
          </w:tcPr>
          <w:p w14:paraId="4462F9C4" w14:textId="77777777" w:rsidR="00690AF2" w:rsidRPr="002432CE" w:rsidRDefault="00690AF2" w:rsidP="00690AF2">
            <w:pPr>
              <w:spacing w:after="0" w:line="240" w:lineRule="auto"/>
              <w:rPr>
                <w:rFonts w:ascii="Times New Roman" w:eastAsia="Times New Roman" w:hAnsi="Times New Roman" w:cs="Times New Roman"/>
                <w:color w:val="000000"/>
                <w:kern w:val="0"/>
                <w:sz w:val="24"/>
                <w:szCs w:val="24"/>
                <w:lang w:eastAsia="en-IE"/>
                <w14:ligatures w14:val="none"/>
              </w:rPr>
            </w:pPr>
          </w:p>
        </w:tc>
      </w:tr>
      <w:tr w:rsidR="00690AF2" w:rsidRPr="00E25D07" w14:paraId="0036CDCC" w14:textId="2414B3AA" w:rsidTr="00B673B9">
        <w:trPr>
          <w:trHeight w:val="300"/>
        </w:trPr>
        <w:tc>
          <w:tcPr>
            <w:tcW w:w="1833" w:type="dxa"/>
            <w:vMerge/>
            <w:hideMark/>
          </w:tcPr>
          <w:p w14:paraId="2DAF39A9"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vAlign w:val="center"/>
          </w:tcPr>
          <w:p w14:paraId="6414776F" w14:textId="4BE27B0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Enhance and improve the Governance Structures to deliver the Climate Action Plan and the underpinning legislation.  </w:t>
            </w:r>
          </w:p>
        </w:tc>
        <w:tc>
          <w:tcPr>
            <w:tcW w:w="6237" w:type="dxa"/>
            <w:vMerge/>
            <w:vAlign w:val="center"/>
          </w:tcPr>
          <w:p w14:paraId="493D43F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47F366D8" w14:textId="3E0C42E8" w:rsidTr="00B673B9">
        <w:trPr>
          <w:trHeight w:val="289"/>
        </w:trPr>
        <w:tc>
          <w:tcPr>
            <w:tcW w:w="1833" w:type="dxa"/>
            <w:vMerge/>
            <w:hideMark/>
          </w:tcPr>
          <w:p w14:paraId="0B8C8F3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8" w:space="0" w:color="auto"/>
            </w:tcBorders>
            <w:vAlign w:val="center"/>
            <w:hideMark/>
          </w:tcPr>
          <w:p w14:paraId="2BE9EB4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Complete the second phase of the Land Use Review, which aims to balance environmental, social and economic consideration. </w:t>
            </w:r>
          </w:p>
        </w:tc>
        <w:tc>
          <w:tcPr>
            <w:tcW w:w="6237" w:type="dxa"/>
            <w:vAlign w:val="center"/>
          </w:tcPr>
          <w:p w14:paraId="776F828A" w14:textId="190D2DB1" w:rsidR="00690AF2" w:rsidRPr="002432CE" w:rsidRDefault="00690AF2" w:rsidP="00690AF2">
            <w:pPr>
              <w:pStyle w:val="NormalWeb"/>
              <w:spacing w:before="0" w:beforeAutospacing="0" w:after="240" w:afterAutospacing="0"/>
              <w:jc w:val="both"/>
              <w:rPr>
                <w:color w:val="000000"/>
              </w:rPr>
            </w:pPr>
            <w:r w:rsidRPr="002432CE">
              <w:rPr>
                <w:color w:val="000000"/>
              </w:rPr>
              <w:t xml:space="preserve">The Final Report for </w:t>
            </w:r>
            <w:r w:rsidRPr="002432CE">
              <w:t>Land Use Review</w:t>
            </w:r>
            <w:r w:rsidRPr="002432CE">
              <w:rPr>
                <w:color w:val="000000"/>
              </w:rPr>
              <w:t xml:space="preserve"> Phase 2, which is entitled </w:t>
            </w:r>
            <w:r w:rsidRPr="002432CE">
              <w:rPr>
                <w:rStyle w:val="Emphasis"/>
                <w:rFonts w:eastAsiaTheme="majorEastAsia"/>
                <w:color w:val="000000"/>
              </w:rPr>
              <w:t>A Living Land</w:t>
            </w:r>
            <w:r w:rsidRPr="002432CE">
              <w:rPr>
                <w:color w:val="000000"/>
              </w:rPr>
              <w:t>, has been received by the Minister (DCEE), the Minister for Agriculture, Food and the Marine, Martin Heydon; the Minister of State at Housing, Local Government and Heritage, Christopher O'Sullivan and will be published by the Department shortly. The Minister has also been briefed on the Review by the independent Chair of the Oversight Group. </w:t>
            </w:r>
          </w:p>
        </w:tc>
      </w:tr>
      <w:tr w:rsidR="00690AF2" w:rsidRPr="00E25D07" w14:paraId="6DD83C9C" w14:textId="77777777" w:rsidTr="00B673B9">
        <w:trPr>
          <w:trHeight w:val="289"/>
        </w:trPr>
        <w:tc>
          <w:tcPr>
            <w:tcW w:w="1833" w:type="dxa"/>
            <w:vMerge/>
          </w:tcPr>
          <w:p w14:paraId="29F00F4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77" w:type="dxa"/>
            <w:gridSpan w:val="2"/>
            <w:tcBorders>
              <w:bottom w:val="single" w:sz="4" w:space="0" w:color="auto"/>
            </w:tcBorders>
            <w:vAlign w:val="center"/>
          </w:tcPr>
          <w:p w14:paraId="71DD2F72" w14:textId="69F53BF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Continue efforts to raise air quality standards, especially in urban areas, ensuring healthier environments for all.</w:t>
            </w:r>
          </w:p>
        </w:tc>
        <w:tc>
          <w:tcPr>
            <w:tcW w:w="6237" w:type="dxa"/>
            <w:vAlign w:val="center"/>
          </w:tcPr>
          <w:p w14:paraId="4C2A9389" w14:textId="46518C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Air Quality in Ireland Report 2024 from the Environmental Protection Agency (September 2025) noted that overall air quality is generally good and meets all EU legal requirements. The European Environment Agency’s Europe's environment 2025 (September 2025) noted in Ireland’s Country profile that Ireland’s air quality is among Europe’s best (it also noted that Ireland meets current EU air quality standards).</w:t>
            </w:r>
          </w:p>
          <w:p w14:paraId="5FD31640"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186ADEDD" w14:textId="2346C56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Significant progress in improving Ireland’s air quality was also noted this year in the annual Clean Air Strategy Progress Report 2025 (July 2025), including reduced ammonia emissions on foot of improvements in agricultural practices and reduced sulphur dioxide emissions due to a greater use of renewables in energy generation and increased retrofitting and heat pump installation.</w:t>
            </w:r>
          </w:p>
          <w:p w14:paraId="6B5A88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7FDC14E2" w14:textId="05704CC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Government published the Air Pollution (Amendment) Bill 2025 which seeks to strengthen the enforcement powers available to local authorities to ensure that they can regulate commercial operators more effectively and that only compliant solid fuel is available on the market. </w:t>
            </w:r>
          </w:p>
          <w:p w14:paraId="2FC6848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0613F78" w14:textId="571FD1AA" w:rsidTr="00B673B9">
        <w:trPr>
          <w:trHeight w:val="1689"/>
        </w:trPr>
        <w:tc>
          <w:tcPr>
            <w:tcW w:w="1843" w:type="dxa"/>
            <w:gridSpan w:val="2"/>
            <w:vMerge w:val="restart"/>
            <w:shd w:val="clear" w:color="000000" w:fill="FFFFFF"/>
            <w:hideMark/>
          </w:tcPr>
          <w:p w14:paraId="62732F5A" w14:textId="429CDEB2"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r w:rsidRPr="00E25D07">
              <w:rPr>
                <w:rFonts w:ascii="Times New Roman" w:eastAsia="Times New Roman" w:hAnsi="Times New Roman" w:cs="Times New Roman"/>
                <w:i/>
                <w:iCs/>
                <w:color w:val="000000"/>
                <w:kern w:val="0"/>
                <w:sz w:val="24"/>
                <w:szCs w:val="24"/>
                <w:lang w:eastAsia="en-IE"/>
                <w14:ligatures w14:val="none"/>
              </w:rPr>
              <w:t>"Transform Ireland's energy systems to be sustainable, affordable and secure"</w:t>
            </w:r>
          </w:p>
        </w:tc>
        <w:tc>
          <w:tcPr>
            <w:tcW w:w="2267" w:type="dxa"/>
            <w:tcBorders>
              <w:top w:val="single" w:sz="4" w:space="0" w:color="auto"/>
            </w:tcBorders>
            <w:vAlign w:val="center"/>
            <w:hideMark/>
          </w:tcPr>
          <w:p w14:paraId="43827F7A"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Deliver 9GW of onshore wind, 8GW solar and at least 5GW of offshore wind by 2030</w:t>
            </w:r>
          </w:p>
        </w:tc>
        <w:tc>
          <w:tcPr>
            <w:tcW w:w="6237" w:type="dxa"/>
            <w:vAlign w:val="center"/>
          </w:tcPr>
          <w:p w14:paraId="0CA7E792" w14:textId="6C1F49F1"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currently has 7.7 GW of renewable generation capacity. Onshore wind is the largest contributor to this, with 5.1 GW of wind generation capacity and 2.1 GW of solar PV installed, with hydro, biomass, and other small sources contributing the remainder. Approximately 740 MW of new renewable generation was added in 2024 (204 MW of onshore wind and 540 MW of solar PV). </w:t>
            </w:r>
          </w:p>
          <w:p w14:paraId="206B7494"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5640F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fifth RESS auction, RESS 5, was completed in September 2025 and saw over 1 GW of successful offers – enough to </w:t>
            </w:r>
            <w:r w:rsidRPr="002432CE">
              <w:rPr>
                <w:rFonts w:ascii="Times New Roman" w:eastAsia="Times New Roman" w:hAnsi="Times New Roman" w:cs="Times New Roman"/>
                <w:kern w:val="0"/>
                <w:sz w:val="24"/>
                <w:szCs w:val="24"/>
                <w:lang w:eastAsia="en-IE"/>
                <w14:ligatures w14:val="none"/>
              </w:rPr>
              <w:lastRenderedPageBreak/>
              <w:t xml:space="preserve">power over 350,000 homes. Work is already underway on preparing the next planned RESS auction, due for delivery in 2026, as part of the Government’s commitment to hold at least one RESS auction per year. </w:t>
            </w:r>
          </w:p>
          <w:p w14:paraId="06B0637D"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69F93C2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Following on from Ireland’s first offshore wind auction in 2023, five east coast projects accounting for 3,800 MW are in development.  A planning Determination from An </w:t>
            </w:r>
            <w:proofErr w:type="spellStart"/>
            <w:r w:rsidRPr="002432CE">
              <w:rPr>
                <w:rFonts w:ascii="Times New Roman" w:eastAsia="Times New Roman" w:hAnsi="Times New Roman" w:cs="Times New Roman"/>
                <w:kern w:val="0"/>
                <w:sz w:val="24"/>
                <w:szCs w:val="24"/>
                <w:lang w:eastAsia="en-IE"/>
                <w14:ligatures w14:val="none"/>
              </w:rPr>
              <w:t>Coimisiún</w:t>
            </w:r>
            <w:proofErr w:type="spellEnd"/>
            <w:r w:rsidRPr="002432CE">
              <w:rPr>
                <w:rFonts w:ascii="Times New Roman" w:eastAsia="Times New Roman" w:hAnsi="Times New Roman" w:cs="Times New Roman"/>
                <w:kern w:val="0"/>
                <w:sz w:val="24"/>
                <w:szCs w:val="24"/>
                <w:lang w:eastAsia="en-IE"/>
                <w14:ligatures w14:val="none"/>
              </w:rPr>
              <w:t xml:space="preserve"> Pleanála is anticipated by end 2026, with projects in construction by 2030 and operational by 2031/32. Provisional results of our second offshore wind auction were announced on 26 November with ESB and Orsted to be awarded the 900 MW contract.  Further auctions will happen in 2026/27 to award rights to the remaining three South Coast DMAP sites with 4,000 MW of capacity. Work on the National DMAP is underway and will designate a further ten to fifteen offshore wind sites by the end of 2027.</w:t>
            </w:r>
          </w:p>
          <w:p w14:paraId="1986202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20347FF3"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Offshore Wind Delivery Taskforce and the Accelerating Renewable Electricity Taskforce (ARET) bring together key organisations to ensure a cohesive approach to policymaking and to identify potential barriers and solutions to accelerating the delivery of both offshore and onshore renewable generation capacity and related infrastructure. The ARET Key Actions 2025/26 report was published in July 2025.         </w:t>
            </w:r>
          </w:p>
          <w:p w14:paraId="7ABB5C2B" w14:textId="498C4C89"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E993B4C" w14:textId="00CBCFAB" w:rsidTr="00B673B9">
        <w:trPr>
          <w:trHeight w:val="981"/>
        </w:trPr>
        <w:tc>
          <w:tcPr>
            <w:tcW w:w="1843" w:type="dxa"/>
            <w:gridSpan w:val="2"/>
            <w:vMerge/>
            <w:shd w:val="clear" w:color="000000" w:fill="FFFFFF"/>
            <w:hideMark/>
          </w:tcPr>
          <w:p w14:paraId="2DCC9166"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483EDC60" w14:textId="1629550A"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Take all necessary action to ensure and protect Ireland’s energy security</w:t>
            </w:r>
          </w:p>
        </w:tc>
        <w:tc>
          <w:tcPr>
            <w:tcW w:w="6237" w:type="dxa"/>
            <w:vAlign w:val="center"/>
          </w:tcPr>
          <w:p w14:paraId="42DD339C" w14:textId="77777777"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 xml:space="preserve">In March of this year, Government approved the development of a State-led strategic gas emergency reserve. The delivery of a temporary gas reserve is critical to Ireland’s energy security as we continue to transition to indigenous, clean renewable energy. Crucially, the strategic gas emergency reserve will also ensure compliance with EU standards and regulation. </w:t>
            </w:r>
          </w:p>
          <w:p w14:paraId="3B11C39C" w14:textId="6172EDE1"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A state-led strategic gas emergency reserve will provide the resilience required to support our energy transition. It is intended for use only in the event of a significant disruption to gas supplies to protect Ireland’s citizens, economy and reputation from the possibility of energy curtailments.</w:t>
            </w:r>
          </w:p>
          <w:p w14:paraId="25EA71EB" w14:textId="040DC533" w:rsidR="00690AF2" w:rsidRPr="002432CE" w:rsidRDefault="00690AF2" w:rsidP="00690AF2">
            <w:pPr>
              <w:rPr>
                <w:rFonts w:ascii="Times New Roman" w:hAnsi="Times New Roman" w:cs="Times New Roman"/>
                <w:sz w:val="24"/>
                <w:szCs w:val="24"/>
              </w:rPr>
            </w:pPr>
            <w:r w:rsidRPr="002432CE">
              <w:rPr>
                <w:rFonts w:ascii="Times New Roman" w:hAnsi="Times New Roman" w:cs="Times New Roman"/>
                <w:sz w:val="24"/>
                <w:szCs w:val="24"/>
              </w:rPr>
              <w:t>Gas Networks Ireland, on behalf of the State, are progressing the delivery of this project through the relevant procurement, planning, environmental and regulatory processes, with appropriate stakeholder engagement, to develop this strategic reserve and mitigate the risk to Ireland's society and economy of an interruption to gas supplies. </w:t>
            </w:r>
          </w:p>
        </w:tc>
      </w:tr>
      <w:tr w:rsidR="00690AF2" w:rsidRPr="00E25D07" w14:paraId="5060F398" w14:textId="43975C10" w:rsidTr="00B673B9">
        <w:trPr>
          <w:trHeight w:val="895"/>
        </w:trPr>
        <w:tc>
          <w:tcPr>
            <w:tcW w:w="1843" w:type="dxa"/>
            <w:gridSpan w:val="2"/>
            <w:vMerge/>
            <w:shd w:val="clear" w:color="000000" w:fill="FFFFFF"/>
            <w:hideMark/>
          </w:tcPr>
          <w:p w14:paraId="4008048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6E80704C"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Expedite the publication of a Private Wires Policy Framework</w:t>
            </w:r>
          </w:p>
        </w:tc>
        <w:tc>
          <w:tcPr>
            <w:tcW w:w="6237" w:type="dxa"/>
            <w:vAlign w:val="center"/>
          </w:tcPr>
          <w:p w14:paraId="41200721" w14:textId="0B07D052"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eastAsia="Times New Roman" w:hAnsi="Times New Roman" w:cs="Times New Roman"/>
                <w:kern w:val="0"/>
                <w:sz w:val="24"/>
                <w:szCs w:val="24"/>
                <w:lang w:eastAsia="en-IE"/>
                <w14:ligatures w14:val="none"/>
              </w:rPr>
              <w:t>In July 2025, the Government adopted a policy statement on Private Wires. This reformed policy will</w:t>
            </w:r>
            <w:r w:rsidRPr="002432CE">
              <w:rPr>
                <w:rFonts w:ascii="Times New Roman" w:hAnsi="Times New Roman" w:cs="Times New Roman"/>
                <w:color w:val="0B0C0C"/>
                <w:sz w:val="24"/>
                <w:szCs w:val="24"/>
              </w:rPr>
              <w:t xml:space="preserve"> unlock private sector investment in electricity infrastructure, particularly renewable generation and storage. It will also facilitate the provision of </w:t>
            </w:r>
            <w:r w:rsidRPr="002432CE">
              <w:rPr>
                <w:rFonts w:ascii="Times New Roman" w:hAnsi="Times New Roman" w:cs="Times New Roman"/>
                <w:color w:val="0B0C0C"/>
                <w:sz w:val="24"/>
                <w:szCs w:val="24"/>
              </w:rPr>
              <w:lastRenderedPageBreak/>
              <w:t xml:space="preserve">low-cost charging solutions for electric vehicles and expand opportunities for self-supply of electricity. </w:t>
            </w:r>
          </w:p>
          <w:p w14:paraId="1238D5AB" w14:textId="77777777" w:rsidR="00690AF2" w:rsidRPr="002432CE" w:rsidRDefault="00690AF2" w:rsidP="00690AF2">
            <w:pPr>
              <w:spacing w:after="0" w:line="240" w:lineRule="auto"/>
              <w:rPr>
                <w:rFonts w:ascii="Times New Roman" w:hAnsi="Times New Roman" w:cs="Times New Roman"/>
                <w:color w:val="0B0C0C"/>
                <w:sz w:val="24"/>
                <w:szCs w:val="24"/>
              </w:rPr>
            </w:pPr>
          </w:p>
          <w:p w14:paraId="2D7A5C8B" w14:textId="77777777" w:rsidR="00690AF2" w:rsidRPr="002432CE" w:rsidRDefault="00690AF2" w:rsidP="00690AF2">
            <w:pPr>
              <w:spacing w:after="0" w:line="240" w:lineRule="auto"/>
              <w:rPr>
                <w:rFonts w:ascii="Times New Roman" w:hAnsi="Times New Roman" w:cs="Times New Roman"/>
                <w:color w:val="0B0C0C"/>
                <w:sz w:val="24"/>
                <w:szCs w:val="24"/>
              </w:rPr>
            </w:pPr>
            <w:r w:rsidRPr="002432CE">
              <w:rPr>
                <w:rFonts w:ascii="Times New Roman" w:hAnsi="Times New Roman" w:cs="Times New Roman"/>
                <w:color w:val="0B0C0C"/>
                <w:sz w:val="24"/>
                <w:szCs w:val="24"/>
              </w:rPr>
              <w:t>DCEE is preparing a General Scheme of the primary legislation to implement this reform which is due to be presented to Government for approval by the end of this year.</w:t>
            </w:r>
          </w:p>
          <w:p w14:paraId="20B3A19D" w14:textId="04BE43B9" w:rsidR="00690AF2" w:rsidRPr="002432CE" w:rsidRDefault="00690AF2" w:rsidP="00690AF2">
            <w:pPr>
              <w:spacing w:after="0" w:line="240" w:lineRule="auto"/>
              <w:rPr>
                <w:rFonts w:ascii="Times New Roman" w:hAnsi="Times New Roman" w:cs="Times New Roman"/>
                <w:color w:val="0B0C0C"/>
                <w:sz w:val="24"/>
                <w:szCs w:val="24"/>
              </w:rPr>
            </w:pPr>
          </w:p>
        </w:tc>
      </w:tr>
      <w:tr w:rsidR="00690AF2" w:rsidRPr="00E25D07" w14:paraId="78DB2DA2" w14:textId="77777777" w:rsidTr="00B673B9">
        <w:trPr>
          <w:trHeight w:val="529"/>
        </w:trPr>
        <w:tc>
          <w:tcPr>
            <w:tcW w:w="1843" w:type="dxa"/>
            <w:gridSpan w:val="2"/>
            <w:vMerge/>
            <w:shd w:val="clear" w:color="000000" w:fill="FFFFFF"/>
          </w:tcPr>
          <w:p w14:paraId="7CAD7C32"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6827683" w14:textId="188ECDF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Develop and accelerate the roll-out of new electricity interconnectors to ensure Ireland is well positioned to be a net exporter of electricity to the UK and the EU.</w:t>
            </w:r>
          </w:p>
        </w:tc>
        <w:tc>
          <w:tcPr>
            <w:tcW w:w="6237" w:type="dxa"/>
            <w:vAlign w:val="center"/>
          </w:tcPr>
          <w:p w14:paraId="4E08E995" w14:textId="5C6467E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remains on course to deliver a five-fold increase in interconnection capacity over the course of a decade. The </w:t>
            </w:r>
            <w:proofErr w:type="spellStart"/>
            <w:r w:rsidRPr="002432CE">
              <w:rPr>
                <w:rFonts w:ascii="Times New Roman" w:eastAsia="Times New Roman" w:hAnsi="Times New Roman" w:cs="Times New Roman"/>
                <w:kern w:val="0"/>
                <w:sz w:val="24"/>
                <w:szCs w:val="24"/>
                <w:lang w:eastAsia="en-IE"/>
                <w14:ligatures w14:val="none"/>
              </w:rPr>
              <w:t>Greenlink</w:t>
            </w:r>
            <w:proofErr w:type="spellEnd"/>
            <w:r w:rsidRPr="002432CE">
              <w:rPr>
                <w:rFonts w:ascii="Times New Roman" w:eastAsia="Times New Roman" w:hAnsi="Times New Roman" w:cs="Times New Roman"/>
                <w:kern w:val="0"/>
                <w:sz w:val="24"/>
                <w:szCs w:val="24"/>
                <w:lang w:eastAsia="en-IE"/>
                <w14:ligatures w14:val="none"/>
              </w:rPr>
              <w:t xml:space="preserve"> Interconnector began commercial operations in January 2025. The Celtic Interconnector, reestablishing direct connectivity to the European market, will commence operations in 2028. The </w:t>
            </w:r>
            <w:proofErr w:type="spellStart"/>
            <w:r w:rsidRPr="002432CE">
              <w:rPr>
                <w:rFonts w:ascii="Times New Roman" w:eastAsia="Times New Roman" w:hAnsi="Times New Roman" w:cs="Times New Roman"/>
                <w:kern w:val="0"/>
                <w:sz w:val="24"/>
                <w:szCs w:val="24"/>
                <w:lang w:eastAsia="en-IE"/>
                <w14:ligatures w14:val="none"/>
              </w:rPr>
              <w:t>MaresConnect</w:t>
            </w:r>
            <w:proofErr w:type="spellEnd"/>
            <w:r w:rsidRPr="002432CE">
              <w:rPr>
                <w:rFonts w:ascii="Times New Roman" w:eastAsia="Times New Roman" w:hAnsi="Times New Roman" w:cs="Times New Roman"/>
                <w:kern w:val="0"/>
                <w:sz w:val="24"/>
                <w:szCs w:val="24"/>
                <w:lang w:eastAsia="en-IE"/>
                <w14:ligatures w14:val="none"/>
              </w:rPr>
              <w:t xml:space="preserve"> proposed interconnector with the UK is currently undergoing Initial Project Assessment by the CRU and aims to be operational in 2030.</w:t>
            </w:r>
          </w:p>
          <w:p w14:paraId="7641019D"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46F5DC2F" w14:textId="2868AACD"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In line with the 2023 National Policy Statement on Electricity Interconnection, further connectivity potential is being explored with France, Spain and the UK. Two very early projects with the UK have been supported for inclusion and examination in the 2026 ENTSO-E Ten Year Network Development Plan process.  </w:t>
            </w:r>
          </w:p>
          <w:p w14:paraId="50E6E1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589A2361" w14:textId="526D324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Ireland is collaborating regionally on energy infrastructure through the North Seas Energy Cooperation. The EU Commission intend to publish a revised framework for interconnectors as part of the European Grids Package in December 2025.  </w:t>
            </w:r>
          </w:p>
          <w:p w14:paraId="5DBEB965" w14:textId="610CD5DB"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11B0BB0C" w14:textId="264BC8AC" w:rsidTr="00B673B9">
        <w:trPr>
          <w:trHeight w:val="289"/>
        </w:trPr>
        <w:tc>
          <w:tcPr>
            <w:tcW w:w="1843" w:type="dxa"/>
            <w:gridSpan w:val="2"/>
            <w:vMerge/>
            <w:shd w:val="clear" w:color="000000" w:fill="FFFFFF"/>
            <w:hideMark/>
          </w:tcPr>
          <w:p w14:paraId="326DDBE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3814D15D" w14:textId="76D9C091"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Prioritise investment into our electricity grid to update our power generation systems to enhance security and affordability</w:t>
            </w:r>
          </w:p>
        </w:tc>
        <w:tc>
          <w:tcPr>
            <w:tcW w:w="6237" w:type="dxa"/>
            <w:vMerge w:val="restart"/>
            <w:vAlign w:val="center"/>
          </w:tcPr>
          <w:p w14:paraId="38E1A908" w14:textId="67735315"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 xml:space="preserve">Government approval was received in July 2025 for €3.5bn investment in </w:t>
            </w:r>
            <w:proofErr w:type="spellStart"/>
            <w:r w:rsidRPr="002432CE">
              <w:rPr>
                <w:rFonts w:ascii="Times New Roman" w:eastAsia="Times New Roman" w:hAnsi="Times New Roman" w:cs="Times New Roman"/>
                <w:color w:val="000000"/>
                <w:sz w:val="24"/>
                <w:szCs w:val="24"/>
              </w:rPr>
              <w:t>EirGrid</w:t>
            </w:r>
            <w:proofErr w:type="spellEnd"/>
            <w:r w:rsidRPr="002432CE">
              <w:rPr>
                <w:rFonts w:ascii="Times New Roman" w:eastAsia="Times New Roman" w:hAnsi="Times New Roman" w:cs="Times New Roman"/>
                <w:color w:val="000000"/>
                <w:sz w:val="24"/>
                <w:szCs w:val="24"/>
              </w:rPr>
              <w:t xml:space="preserve"> and ESB to facilitate the investment programme of up to €18.1bn out to 2030 and connection of 5GW offshore wind. </w:t>
            </w:r>
          </w:p>
          <w:p w14:paraId="4F750A79"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441E6DD9" w14:textId="2DF186E3" w:rsidR="00690AF2" w:rsidRPr="002432CE" w:rsidRDefault="00690AF2" w:rsidP="00690AF2">
            <w:pPr>
              <w:spacing w:after="0" w:line="240" w:lineRule="auto"/>
              <w:rPr>
                <w:rFonts w:ascii="Times New Roman" w:eastAsia="Times New Roman" w:hAnsi="Times New Roman" w:cs="Times New Roman"/>
                <w:sz w:val="24"/>
                <w:szCs w:val="24"/>
              </w:rPr>
            </w:pPr>
            <w:r w:rsidRPr="002432CE">
              <w:rPr>
                <w:rFonts w:ascii="Times New Roman" w:eastAsia="Times New Roman" w:hAnsi="Times New Roman" w:cs="Times New Roman"/>
                <w:color w:val="000000"/>
                <w:sz w:val="24"/>
                <w:szCs w:val="24"/>
              </w:rPr>
              <w:t>The Electricity (Supply)(Amendment) Act 2025 was enacted to facilitate the investment of €1.5bn in ESB by end of 2025 for onshore electricity network infrastructure.</w:t>
            </w:r>
          </w:p>
          <w:p w14:paraId="661F7AB3"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p>
          <w:p w14:paraId="6ACCD0CC" w14:textId="77777777" w:rsidR="00690AF2" w:rsidRPr="002432CE" w:rsidRDefault="00690AF2" w:rsidP="00690AF2">
            <w:pPr>
              <w:spacing w:after="0" w:line="240" w:lineRule="auto"/>
              <w:rPr>
                <w:rFonts w:ascii="Times New Roman" w:eastAsia="Times New Roman" w:hAnsi="Times New Roman" w:cs="Times New Roman"/>
                <w:color w:val="000000"/>
                <w:sz w:val="24"/>
                <w:szCs w:val="24"/>
              </w:rPr>
            </w:pPr>
            <w:r w:rsidRPr="002432CE">
              <w:rPr>
                <w:rFonts w:ascii="Times New Roman" w:eastAsia="Times New Roman" w:hAnsi="Times New Roman" w:cs="Times New Roman"/>
                <w:color w:val="000000"/>
                <w:sz w:val="24"/>
                <w:szCs w:val="24"/>
              </w:rPr>
              <w:t xml:space="preserve">Legislation to be introduced by Q2 2026 to facilitate the investment of €2bn in </w:t>
            </w:r>
            <w:proofErr w:type="spellStart"/>
            <w:r w:rsidRPr="002432CE">
              <w:rPr>
                <w:rFonts w:ascii="Times New Roman" w:eastAsia="Times New Roman" w:hAnsi="Times New Roman" w:cs="Times New Roman"/>
                <w:color w:val="000000"/>
                <w:sz w:val="24"/>
                <w:szCs w:val="24"/>
              </w:rPr>
              <w:t>EirGrid</w:t>
            </w:r>
            <w:proofErr w:type="spellEnd"/>
            <w:r w:rsidRPr="002432CE">
              <w:rPr>
                <w:rFonts w:ascii="Times New Roman" w:eastAsia="Times New Roman" w:hAnsi="Times New Roman" w:cs="Times New Roman"/>
                <w:color w:val="000000"/>
                <w:sz w:val="24"/>
                <w:szCs w:val="24"/>
              </w:rPr>
              <w:t xml:space="preserve"> for offshore electricity network infrastructure. </w:t>
            </w:r>
          </w:p>
          <w:p w14:paraId="445E30A5" w14:textId="10855521" w:rsidR="00690AF2" w:rsidRPr="002432CE" w:rsidRDefault="00690AF2" w:rsidP="00690AF2">
            <w:pPr>
              <w:spacing w:after="0" w:line="240" w:lineRule="auto"/>
              <w:rPr>
                <w:rFonts w:ascii="Times New Roman" w:eastAsia="Times New Roman" w:hAnsi="Times New Roman" w:cs="Times New Roman"/>
                <w:sz w:val="24"/>
                <w:szCs w:val="24"/>
              </w:rPr>
            </w:pPr>
          </w:p>
        </w:tc>
      </w:tr>
      <w:tr w:rsidR="00690AF2" w:rsidRPr="00E25D07" w14:paraId="56256A2B" w14:textId="6C7D12B0" w:rsidTr="00B673B9">
        <w:trPr>
          <w:trHeight w:val="289"/>
        </w:trPr>
        <w:tc>
          <w:tcPr>
            <w:tcW w:w="1843" w:type="dxa"/>
            <w:gridSpan w:val="2"/>
            <w:vMerge/>
            <w:shd w:val="clear" w:color="000000" w:fill="FFFFFF"/>
            <w:hideMark/>
          </w:tcPr>
          <w:p w14:paraId="4404822B"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05C448B1" w14:textId="1ABD664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Scale up investment in critical infrastructure and in our electricity grid</w:t>
            </w:r>
          </w:p>
        </w:tc>
        <w:tc>
          <w:tcPr>
            <w:tcW w:w="6237" w:type="dxa"/>
            <w:vMerge/>
            <w:vAlign w:val="center"/>
          </w:tcPr>
          <w:p w14:paraId="1542E79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29DBDB9" w14:textId="04B8DD5D" w:rsidTr="00B673B9">
        <w:trPr>
          <w:trHeight w:val="289"/>
        </w:trPr>
        <w:tc>
          <w:tcPr>
            <w:tcW w:w="1843" w:type="dxa"/>
            <w:gridSpan w:val="2"/>
            <w:vMerge/>
            <w:shd w:val="clear" w:color="000000" w:fill="FFFFFF"/>
            <w:hideMark/>
          </w:tcPr>
          <w:p w14:paraId="6D5C8CB0"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731C600D" w14:textId="19B3A12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Enact legislation in 2025 to accelerate the roll out of district heating systems</w:t>
            </w:r>
          </w:p>
        </w:tc>
        <w:tc>
          <w:tcPr>
            <w:tcW w:w="6237" w:type="dxa"/>
            <w:vAlign w:val="center"/>
          </w:tcPr>
          <w:p w14:paraId="4310E824" w14:textId="69EF9725" w:rsidR="00690AF2" w:rsidRPr="002432CE" w:rsidRDefault="00690AF2" w:rsidP="00690AF2">
            <w:pPr>
              <w:rPr>
                <w:rFonts w:ascii="Times New Roman" w:hAnsi="Times New Roman" w:cs="Times New Roman"/>
                <w:color w:val="000000"/>
                <w:sz w:val="24"/>
                <w:szCs w:val="24"/>
              </w:rPr>
            </w:pPr>
            <w:r w:rsidRPr="002432CE">
              <w:rPr>
                <w:rFonts w:ascii="Times New Roman" w:hAnsi="Times New Roman" w:cs="Times New Roman"/>
                <w:color w:val="000000"/>
                <w:sz w:val="24"/>
                <w:szCs w:val="24"/>
              </w:rPr>
              <w:t>The Heat (</w:t>
            </w:r>
            <w:r w:rsidR="00491CB0">
              <w:rPr>
                <w:rFonts w:ascii="Times New Roman" w:hAnsi="Times New Roman" w:cs="Times New Roman"/>
                <w:color w:val="000000"/>
                <w:sz w:val="24"/>
                <w:szCs w:val="24"/>
              </w:rPr>
              <w:t>N</w:t>
            </w:r>
            <w:r w:rsidRPr="002432CE">
              <w:rPr>
                <w:rFonts w:ascii="Times New Roman" w:hAnsi="Times New Roman" w:cs="Times New Roman"/>
                <w:color w:val="000000"/>
                <w:sz w:val="24"/>
                <w:szCs w:val="24"/>
              </w:rPr>
              <w:t xml:space="preserve">etworks and </w:t>
            </w:r>
            <w:r w:rsidR="00491CB0">
              <w:rPr>
                <w:rFonts w:ascii="Times New Roman" w:hAnsi="Times New Roman" w:cs="Times New Roman"/>
                <w:color w:val="000000"/>
                <w:sz w:val="24"/>
                <w:szCs w:val="24"/>
              </w:rPr>
              <w:t>M</w:t>
            </w:r>
            <w:r w:rsidRPr="002432CE">
              <w:rPr>
                <w:rFonts w:ascii="Times New Roman" w:hAnsi="Times New Roman" w:cs="Times New Roman"/>
                <w:color w:val="000000"/>
                <w:sz w:val="24"/>
                <w:szCs w:val="24"/>
              </w:rPr>
              <w:t xml:space="preserve">iscellaneous </w:t>
            </w:r>
            <w:r w:rsidR="00491CB0">
              <w:rPr>
                <w:rFonts w:ascii="Times New Roman" w:hAnsi="Times New Roman" w:cs="Times New Roman"/>
                <w:color w:val="000000"/>
                <w:sz w:val="24"/>
                <w:szCs w:val="24"/>
              </w:rPr>
              <w:t>P</w:t>
            </w:r>
            <w:r w:rsidRPr="002432CE">
              <w:rPr>
                <w:rFonts w:ascii="Times New Roman" w:hAnsi="Times New Roman" w:cs="Times New Roman"/>
                <w:color w:val="000000"/>
                <w:sz w:val="24"/>
                <w:szCs w:val="24"/>
              </w:rPr>
              <w:t>rovision) Bill is currently undergoing initial drafting. The Department is working with OPC to confirm a target date for a final draft of the Bill in Q2 2026.</w:t>
            </w:r>
          </w:p>
        </w:tc>
      </w:tr>
      <w:tr w:rsidR="00690AF2" w:rsidRPr="00E25D07" w14:paraId="1B5CC7C3" w14:textId="7AA67F1F" w:rsidTr="00B673B9">
        <w:trPr>
          <w:trHeight w:val="289"/>
        </w:trPr>
        <w:tc>
          <w:tcPr>
            <w:tcW w:w="1843" w:type="dxa"/>
            <w:gridSpan w:val="2"/>
            <w:vMerge/>
            <w:shd w:val="clear" w:color="000000" w:fill="FFFFFF"/>
            <w:hideMark/>
          </w:tcPr>
          <w:p w14:paraId="1884245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2005D8D9" w14:textId="0518C98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Ramp up our targets to deliver more B2 </w:t>
            </w:r>
            <w:r w:rsidRPr="002432CE">
              <w:rPr>
                <w:rFonts w:ascii="Times New Roman" w:eastAsia="Times New Roman" w:hAnsi="Times New Roman" w:cs="Times New Roman"/>
                <w:kern w:val="0"/>
                <w:sz w:val="24"/>
                <w:szCs w:val="24"/>
                <w:lang w:eastAsia="en-IE"/>
                <w14:ligatures w14:val="none"/>
              </w:rPr>
              <w:lastRenderedPageBreak/>
              <w:t xml:space="preserve">equivalent home retrofits each year </w:t>
            </w:r>
          </w:p>
        </w:tc>
        <w:tc>
          <w:tcPr>
            <w:tcW w:w="6237" w:type="dxa"/>
            <w:vMerge w:val="restart"/>
            <w:vAlign w:val="center"/>
          </w:tcPr>
          <w:p w14:paraId="1A9FEEA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lastRenderedPageBreak/>
              <w:t xml:space="preserve">In 2025, a record capital budget of over €550m was allocated to SEAI for continued delivery of Ireland's residential and </w:t>
            </w:r>
            <w:r w:rsidRPr="002432CE">
              <w:rPr>
                <w:rFonts w:ascii="Times New Roman" w:eastAsia="Times New Roman" w:hAnsi="Times New Roman" w:cs="Times New Roman"/>
                <w:kern w:val="0"/>
                <w:sz w:val="24"/>
                <w:szCs w:val="24"/>
                <w:lang w:eastAsia="en-IE"/>
                <w14:ligatures w14:val="none"/>
              </w:rPr>
              <w:lastRenderedPageBreak/>
              <w:t xml:space="preserve">community energy upgrade schemes. The schemes offer grants for individuals who can afford to contribute to the cost of upgrades as well as free energy upgrades under the Warmer Homes Scheme (WHS) for people at risk of energy poverty. </w:t>
            </w:r>
          </w:p>
          <w:p w14:paraId="7DCFDC02"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23F45189" w14:textId="04925B93"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To the end of September 2025, this funding has delivered 41,654 property upgrades, including over 18,000 to a BER B2 level or above, representing increases of 9.6% and 20% respectively over the same period last year. In addition, of the 41,654 upgrades, the fully funded WHS scheme delivered 5,996 upgrades, up 12% on 2024. </w:t>
            </w:r>
          </w:p>
          <w:p w14:paraId="6EE8C1D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Initiatives being implemented in 2025 include:</w:t>
            </w:r>
          </w:p>
          <w:p w14:paraId="72625E54" w14:textId="4D668D87"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A new reduced VAT rate for heat pumps of 9% since 1 January 2025</w:t>
            </w:r>
          </w:p>
          <w:p w14:paraId="42C99FF2" w14:textId="725044E3"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Continued promotion and expansion of the Home Energy Upgrade Loan Scheme launched in mid-2024</w:t>
            </w:r>
          </w:p>
          <w:p w14:paraId="4C09E240" w14:textId="77777777"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New pilot for older homes – “</w:t>
            </w:r>
            <w:r w:rsidRPr="002432CE">
              <w:rPr>
                <w:rFonts w:ascii="Times New Roman" w:eastAsia="Times New Roman" w:hAnsi="Times New Roman" w:cs="Times New Roman"/>
                <w:i/>
                <w:iCs/>
                <w:kern w:val="0"/>
                <w:sz w:val="24"/>
                <w:szCs w:val="24"/>
                <w:lang w:eastAsia="en-IE"/>
                <w14:ligatures w14:val="none"/>
              </w:rPr>
              <w:t>the traditionally built homes pilot</w:t>
            </w:r>
            <w:r w:rsidRPr="002432CE">
              <w:rPr>
                <w:rFonts w:ascii="Times New Roman" w:eastAsia="Times New Roman" w:hAnsi="Times New Roman" w:cs="Times New Roman"/>
                <w:kern w:val="0"/>
                <w:sz w:val="24"/>
                <w:szCs w:val="24"/>
                <w:lang w:eastAsia="en-IE"/>
                <w14:ligatures w14:val="none"/>
              </w:rPr>
              <w:t xml:space="preserve">” </w:t>
            </w:r>
          </w:p>
          <w:p w14:paraId="32399B33" w14:textId="0C6FB84C"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New Community scheme pilots to test or demonstrate new delivery models, including retrofitting apartment buildings and flat complexes</w:t>
            </w:r>
          </w:p>
          <w:p w14:paraId="6703C738" w14:textId="0C1D786D"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Implementation of technical changes, introduced in 2024, aimed at making it easier to access heat pump grants</w:t>
            </w:r>
          </w:p>
          <w:p w14:paraId="16FEAB6E" w14:textId="61A1B1B5"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Changes introduced to certain SEAI schemes to support homeowners availing of the Enhanced Defective Concrete Block Scheme</w:t>
            </w:r>
          </w:p>
          <w:p w14:paraId="430346A5" w14:textId="132B4ADE"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Continued expansion in the number of One Stop Shops from 18 in 2023 to 26 currently</w:t>
            </w:r>
          </w:p>
          <w:p w14:paraId="6FB9FDCF" w14:textId="77777777"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Further increase in the number of Sustainable Energy Communities from 926 (at end 2024) to 1,052 at end-Sept 2025</w:t>
            </w:r>
          </w:p>
          <w:p w14:paraId="49D4AEC6" w14:textId="77777777" w:rsidR="00690AF2" w:rsidRPr="002432CE" w:rsidRDefault="00690AF2" w:rsidP="00690AF2">
            <w:pPr>
              <w:numPr>
                <w:ilvl w:val="0"/>
                <w:numId w:val="8"/>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Budget 2026 announced funding of €558 million for SEAI residential and community energy upgrades. This is an €89 million increase on last year’s carbon tax allocation.</w:t>
            </w:r>
          </w:p>
          <w:p w14:paraId="7F41C9A0"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19E10E51" w14:textId="6F97D64C"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In line with the Programme for Governments commitment to “Promote the €500 million Home Energy Upgrade Loan Scheme, offering low interest loans for home energy upgrades, from €5,000 to €75,000”, the Department has in 2025:</w:t>
            </w:r>
          </w:p>
          <w:p w14:paraId="69EEF165" w14:textId="77777777" w:rsidR="00690AF2" w:rsidRPr="002432CE" w:rsidRDefault="00690AF2" w:rsidP="00690AF2">
            <w:pPr>
              <w:numPr>
                <w:ilvl w:val="0"/>
                <w:numId w:val="9"/>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Expanded the number of lenders operating under the Scheme, with new lenders including seven credit unions added and now offering loans in 2025. </w:t>
            </w:r>
          </w:p>
          <w:p w14:paraId="0EAFA3D5" w14:textId="77777777" w:rsidR="00690AF2" w:rsidRPr="002432CE" w:rsidRDefault="00690AF2" w:rsidP="00690AF2">
            <w:pPr>
              <w:numPr>
                <w:ilvl w:val="0"/>
                <w:numId w:val="9"/>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Engaged with the SBCI and SEAI, as well as a number of lenders, to identify further actions that various parties involved in the operation of the Scheme can undertake, to further promote and drive awareness of the Scheme. </w:t>
            </w:r>
          </w:p>
          <w:p w14:paraId="032CEAB0" w14:textId="77777777" w:rsidR="00690AF2" w:rsidRPr="002432CE" w:rsidRDefault="00690AF2" w:rsidP="00690AF2">
            <w:pPr>
              <w:numPr>
                <w:ilvl w:val="0"/>
                <w:numId w:val="9"/>
              </w:num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Worked with the SBCI, SEAI and the participating lenders on a comprehensive marketing and communications </w:t>
            </w:r>
            <w:r w:rsidRPr="002432CE">
              <w:rPr>
                <w:rFonts w:ascii="Times New Roman" w:eastAsia="Times New Roman" w:hAnsi="Times New Roman" w:cs="Times New Roman"/>
                <w:kern w:val="0"/>
                <w:sz w:val="24"/>
                <w:szCs w:val="24"/>
                <w:lang w:eastAsia="en-IE"/>
                <w14:ligatures w14:val="none"/>
              </w:rPr>
              <w:lastRenderedPageBreak/>
              <w:t>campaign to scale up activity in the Home Energy Upgrade Loan Scheme.</w:t>
            </w:r>
          </w:p>
          <w:p w14:paraId="6067C47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5F75AB0" w14:textId="07E9F5E9" w:rsidTr="00B673B9">
        <w:trPr>
          <w:trHeight w:val="289"/>
        </w:trPr>
        <w:tc>
          <w:tcPr>
            <w:tcW w:w="1843" w:type="dxa"/>
            <w:gridSpan w:val="2"/>
            <w:vMerge/>
            <w:shd w:val="clear" w:color="000000" w:fill="FFFFFF"/>
            <w:hideMark/>
          </w:tcPr>
          <w:p w14:paraId="51684FE4"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5625749C" w14:textId="22F8C386"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Revise and improve the provision of grants and financing models for homeowners who wish to retrofit</w:t>
            </w:r>
          </w:p>
        </w:tc>
        <w:tc>
          <w:tcPr>
            <w:tcW w:w="6237" w:type="dxa"/>
            <w:vMerge/>
            <w:vAlign w:val="center"/>
          </w:tcPr>
          <w:p w14:paraId="358BA0D8"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13634B3" w14:textId="77777777" w:rsidTr="00B673B9">
        <w:trPr>
          <w:trHeight w:val="289"/>
        </w:trPr>
        <w:tc>
          <w:tcPr>
            <w:tcW w:w="1843" w:type="dxa"/>
            <w:gridSpan w:val="2"/>
            <w:vMerge/>
            <w:shd w:val="clear" w:color="000000" w:fill="FFFFFF"/>
          </w:tcPr>
          <w:p w14:paraId="36E4470F"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84CB86B" w14:textId="0006565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Target older homes still using oil to switch to renewable heating systems</w:t>
            </w:r>
          </w:p>
        </w:tc>
        <w:tc>
          <w:tcPr>
            <w:tcW w:w="6237" w:type="dxa"/>
            <w:vMerge/>
            <w:vAlign w:val="center"/>
          </w:tcPr>
          <w:p w14:paraId="6BB7474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6C6AAEB7" w14:textId="48A656F5" w:rsidTr="00B673B9">
        <w:trPr>
          <w:trHeight w:val="289"/>
        </w:trPr>
        <w:tc>
          <w:tcPr>
            <w:tcW w:w="1843" w:type="dxa"/>
            <w:gridSpan w:val="2"/>
            <w:vMerge/>
            <w:shd w:val="clear" w:color="000000" w:fill="FFFFFF"/>
            <w:hideMark/>
          </w:tcPr>
          <w:p w14:paraId="2D5EFFDC"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3A811105"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Promote the €500 million Home Energy Upgrade Loan Scheme, offering low interest loans for home energy upgrades, from €5,000 to €75,000.</w:t>
            </w:r>
          </w:p>
          <w:p w14:paraId="47A051B0" w14:textId="76F5A385"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c>
          <w:tcPr>
            <w:tcW w:w="6237" w:type="dxa"/>
            <w:vMerge/>
            <w:vAlign w:val="center"/>
          </w:tcPr>
          <w:p w14:paraId="3062E2B3"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77142E5" w14:textId="6517B141" w:rsidTr="00B673B9">
        <w:trPr>
          <w:trHeight w:val="289"/>
        </w:trPr>
        <w:tc>
          <w:tcPr>
            <w:tcW w:w="1843" w:type="dxa"/>
            <w:gridSpan w:val="2"/>
            <w:vMerge/>
            <w:shd w:val="clear" w:color="000000" w:fill="FFFFFF"/>
            <w:hideMark/>
          </w:tcPr>
          <w:p w14:paraId="64C5D4A3"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hideMark/>
          </w:tcPr>
          <w:p w14:paraId="592EE76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Acknowledging the increased energy cost pressures on households and businesses, bring forward taxation measures to help contain energy costs, including with regard to VAT.</w:t>
            </w:r>
          </w:p>
        </w:tc>
        <w:tc>
          <w:tcPr>
            <w:tcW w:w="6237" w:type="dxa"/>
            <w:vMerge w:val="restart"/>
            <w:vAlign w:val="center"/>
          </w:tcPr>
          <w:p w14:paraId="43CD27C6"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reduced 9% VAT rate on electricity and gas has been extended until 31 December 2030, to help reduce household energy costs by up to €100 per annum.</w:t>
            </w:r>
          </w:p>
          <w:p w14:paraId="2DC2885E"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07BB33E" w14:textId="718245F4"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€400 income tax disregard for certain profits arising from the micro-generation of electricity is being extended for a further three years to 31 December 2028. The relief applies to a qualifying individual who generates energy from renewable, sustainable or alternative energy sources for their own consumption, and who sells surplus electricity to the grid.</w:t>
            </w:r>
          </w:p>
          <w:p w14:paraId="7018EAD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2D3A3B28" w14:textId="455F3249"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Accelerated Capital Allowances (ACA) scheme for energy-efficient equipment is extended until 31 December 2030, encouraging investment in low-emission technology among businesses.</w:t>
            </w:r>
          </w:p>
          <w:p w14:paraId="45C7931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76EB088" w14:textId="2F74368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The Department is leading the Cross Government Energy Affordability Taskforce which aims to identify, assess and implement measures that will enhance energy affordability for households and businesses, operating within the broader policy context set by the Programme for Government and Climate Action and Low Carbon Development (Amendment) Act 2021. A key output of this Taskforce will be to develop and publish an Energy Affordability Action Plan which will identify a comprehensive range of solutions including demand-side solutions for households to allow them to adjust their energy demand and avail of low cost, or otherwise surplus renewable energy.</w:t>
            </w:r>
          </w:p>
          <w:p w14:paraId="58F7FDED" w14:textId="2DFC3769" w:rsidR="00690AF2" w:rsidRPr="002432CE" w:rsidRDefault="00690AF2" w:rsidP="00690AF2">
            <w:pPr>
              <w:pStyle w:val="ListParagraph"/>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07FD63AD" w14:textId="77777777" w:rsidTr="00B673B9">
        <w:trPr>
          <w:trHeight w:val="289"/>
        </w:trPr>
        <w:tc>
          <w:tcPr>
            <w:tcW w:w="1843" w:type="dxa"/>
            <w:gridSpan w:val="2"/>
            <w:vMerge/>
            <w:shd w:val="clear" w:color="000000" w:fill="FFFFFF"/>
          </w:tcPr>
          <w:p w14:paraId="1CC618A5" w14:textId="77777777" w:rsidR="00690AF2" w:rsidRPr="00E25D07" w:rsidRDefault="00690AF2" w:rsidP="00690AF2">
            <w:pPr>
              <w:spacing w:after="0" w:line="240" w:lineRule="auto"/>
              <w:jc w:val="center"/>
              <w:rPr>
                <w:rFonts w:ascii="Times New Roman" w:eastAsia="Times New Roman" w:hAnsi="Times New Roman" w:cs="Times New Roman"/>
                <w:i/>
                <w:iCs/>
                <w:color w:val="000000"/>
                <w:kern w:val="0"/>
                <w:sz w:val="24"/>
                <w:szCs w:val="24"/>
                <w:lang w:eastAsia="en-IE"/>
                <w14:ligatures w14:val="none"/>
              </w:rPr>
            </w:pPr>
          </w:p>
        </w:tc>
        <w:tc>
          <w:tcPr>
            <w:tcW w:w="2267" w:type="dxa"/>
            <w:vAlign w:val="center"/>
          </w:tcPr>
          <w:p w14:paraId="4A0F52E6" w14:textId="21F4ABE2"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Explore ways to use surplus renewable energy to help reduce energy poverty, ensuring that renewable energy benefits all communities.</w:t>
            </w:r>
          </w:p>
        </w:tc>
        <w:tc>
          <w:tcPr>
            <w:tcW w:w="6237" w:type="dxa"/>
            <w:vMerge/>
            <w:vAlign w:val="center"/>
          </w:tcPr>
          <w:p w14:paraId="2487C781"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B2ED0F4" w14:textId="289E4993" w:rsidTr="00B673B9">
        <w:trPr>
          <w:trHeight w:val="300"/>
        </w:trPr>
        <w:tc>
          <w:tcPr>
            <w:tcW w:w="1843" w:type="dxa"/>
            <w:gridSpan w:val="2"/>
            <w:vMerge w:val="restart"/>
            <w:hideMark/>
          </w:tcPr>
          <w:p w14:paraId="49D6A907" w14:textId="7AFBD8AC"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r w:rsidRPr="00E25D07">
              <w:rPr>
                <w:rFonts w:ascii="Times New Roman" w:eastAsia="Times New Roman" w:hAnsi="Times New Roman" w:cs="Times New Roman"/>
                <w:i/>
                <w:iCs/>
                <w:kern w:val="0"/>
                <w:sz w:val="24"/>
                <w:szCs w:val="24"/>
                <w:lang w:eastAsia="en-IE"/>
                <w14:ligatures w14:val="none"/>
              </w:rPr>
              <w:t>"Protect and enhance our environment and improve the circular and resource-efficient economy"</w:t>
            </w:r>
          </w:p>
        </w:tc>
        <w:tc>
          <w:tcPr>
            <w:tcW w:w="2267" w:type="dxa"/>
            <w:noWrap/>
            <w:vAlign w:val="center"/>
            <w:hideMark/>
          </w:tcPr>
          <w:p w14:paraId="0CDAA669"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Support enterprises in the circular economy </w:t>
            </w:r>
          </w:p>
        </w:tc>
        <w:tc>
          <w:tcPr>
            <w:tcW w:w="6237" w:type="dxa"/>
            <w:vMerge w:val="restart"/>
            <w:vAlign w:val="center"/>
          </w:tcPr>
          <w:p w14:paraId="1A872BBE" w14:textId="70D86FB4"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A public consultation on Ireland</w:t>
            </w:r>
            <w:r w:rsidR="00491CB0">
              <w:rPr>
                <w:rFonts w:ascii="Times New Roman" w:eastAsia="Times New Roman" w:hAnsi="Times New Roman" w:cs="Times New Roman"/>
                <w:kern w:val="0"/>
                <w:sz w:val="24"/>
                <w:szCs w:val="24"/>
                <w:lang w:eastAsia="en-IE"/>
                <w14:ligatures w14:val="none"/>
              </w:rPr>
              <w:t>’</w:t>
            </w:r>
            <w:r w:rsidRPr="002432CE">
              <w:rPr>
                <w:rFonts w:ascii="Times New Roman" w:eastAsia="Times New Roman" w:hAnsi="Times New Roman" w:cs="Times New Roman"/>
                <w:kern w:val="0"/>
                <w:sz w:val="24"/>
                <w:szCs w:val="24"/>
                <w:lang w:eastAsia="en-IE"/>
                <w14:ligatures w14:val="none"/>
              </w:rPr>
              <w:t xml:space="preserve">s second Whole of Government Circular Economy Strategy concluded on 5 November 2025. The final strategy, which will be published early in the new year, will set sectoral actions and targets covering aspects such as reductions in resource use and increases in reuse/repair. It also provides for a range of supports for circular enterprises including increasing the annual allocation to the Circular Economy Innovation Grants Scheme from €650,000 to €1.5M as well as the introduction of a repair voucher scheme and the establishment of a Centre of Excellence for the circular economy to support industry in the transition.  </w:t>
            </w:r>
          </w:p>
          <w:p w14:paraId="4C3FDF5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p w14:paraId="3F9A2905"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Waste Action Plan for the Circular Economy (WAPCE) will be updated in 2026 to ensure that it aligns with and drives the implementation of the new strategy. The updated WAPCE will also reflect the commitments given in the Programme for Government and will inform and give direction to waste </w:t>
            </w:r>
            <w:r w:rsidRPr="002432CE">
              <w:rPr>
                <w:rFonts w:ascii="Times New Roman" w:eastAsia="Times New Roman" w:hAnsi="Times New Roman" w:cs="Times New Roman"/>
                <w:kern w:val="0"/>
                <w:sz w:val="24"/>
                <w:szCs w:val="24"/>
                <w:lang w:eastAsia="en-IE"/>
                <w14:ligatures w14:val="none"/>
              </w:rPr>
              <w:lastRenderedPageBreak/>
              <w:t>planning and management in Ireland, the delivery of appropriate infrastructure, and how we can enhance our capacity to transform waste into secondary materials and create a culture of circular behaviour.</w:t>
            </w:r>
          </w:p>
          <w:p w14:paraId="5B7963EB" w14:textId="4EA5DDEE"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7DC1DC55" w14:textId="2B99EA2D" w:rsidTr="00B673B9">
        <w:trPr>
          <w:trHeight w:val="289"/>
        </w:trPr>
        <w:tc>
          <w:tcPr>
            <w:tcW w:w="1843" w:type="dxa"/>
            <w:gridSpan w:val="2"/>
            <w:vMerge/>
            <w:hideMark/>
          </w:tcPr>
          <w:p w14:paraId="3C2065F8"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634F8C2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Set Waste Reduction Targets in appropriate sectors of our economy, encouraging sustainable practices. </w:t>
            </w:r>
          </w:p>
        </w:tc>
        <w:tc>
          <w:tcPr>
            <w:tcW w:w="6237" w:type="dxa"/>
            <w:vMerge/>
            <w:vAlign w:val="center"/>
          </w:tcPr>
          <w:p w14:paraId="4AB98967"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3C54DCCA" w14:textId="4AD91214" w:rsidTr="00B673B9">
        <w:trPr>
          <w:trHeight w:val="289"/>
        </w:trPr>
        <w:tc>
          <w:tcPr>
            <w:tcW w:w="1843" w:type="dxa"/>
            <w:gridSpan w:val="2"/>
            <w:vMerge/>
            <w:hideMark/>
          </w:tcPr>
          <w:p w14:paraId="112EB359"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hideMark/>
          </w:tcPr>
          <w:p w14:paraId="59A57A62"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Support development of waste management infrastructure. Assess the need for a new waste to energy facility and maintain a renewed focus on </w:t>
            </w:r>
            <w:r w:rsidRPr="002432CE">
              <w:rPr>
                <w:rFonts w:ascii="Times New Roman" w:eastAsia="Times New Roman" w:hAnsi="Times New Roman" w:cs="Times New Roman"/>
                <w:kern w:val="0"/>
                <w:sz w:val="24"/>
                <w:szCs w:val="24"/>
                <w:lang w:eastAsia="en-IE"/>
                <w14:ligatures w14:val="none"/>
              </w:rPr>
              <w:lastRenderedPageBreak/>
              <w:t>zero waste infrastructure</w:t>
            </w:r>
          </w:p>
        </w:tc>
        <w:tc>
          <w:tcPr>
            <w:tcW w:w="6237" w:type="dxa"/>
            <w:vMerge/>
            <w:vAlign w:val="center"/>
          </w:tcPr>
          <w:p w14:paraId="0497650F"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r w:rsidR="00690AF2" w:rsidRPr="00E25D07" w14:paraId="286426B9" w14:textId="7B906865" w:rsidTr="00B673B9">
        <w:trPr>
          <w:trHeight w:val="300"/>
        </w:trPr>
        <w:tc>
          <w:tcPr>
            <w:tcW w:w="1843" w:type="dxa"/>
            <w:gridSpan w:val="2"/>
            <w:vMerge/>
            <w:hideMark/>
          </w:tcPr>
          <w:p w14:paraId="7810CCEE" w14:textId="77777777" w:rsidR="00690AF2" w:rsidRPr="00E25D07" w:rsidRDefault="00690AF2" w:rsidP="00690AF2">
            <w:pPr>
              <w:spacing w:after="0" w:line="240" w:lineRule="auto"/>
              <w:jc w:val="center"/>
              <w:rPr>
                <w:rFonts w:ascii="Times New Roman" w:eastAsia="Times New Roman" w:hAnsi="Times New Roman" w:cs="Times New Roman"/>
                <w:i/>
                <w:iCs/>
                <w:kern w:val="0"/>
                <w:sz w:val="24"/>
                <w:szCs w:val="24"/>
                <w:lang w:eastAsia="en-IE"/>
                <w14:ligatures w14:val="none"/>
              </w:rPr>
            </w:pPr>
          </w:p>
        </w:tc>
        <w:tc>
          <w:tcPr>
            <w:tcW w:w="2267" w:type="dxa"/>
            <w:noWrap/>
            <w:vAlign w:val="center"/>
          </w:tcPr>
          <w:p w14:paraId="1538355E" w14:textId="6869CE1D"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Modernise and consolidate legislation pertaining to inland fisheries. </w:t>
            </w:r>
          </w:p>
        </w:tc>
        <w:tc>
          <w:tcPr>
            <w:tcW w:w="6237" w:type="dxa"/>
            <w:vAlign w:val="center"/>
          </w:tcPr>
          <w:p w14:paraId="4A38AEEB" w14:textId="77777777"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r w:rsidRPr="002432CE">
              <w:rPr>
                <w:rFonts w:ascii="Times New Roman" w:eastAsia="Times New Roman" w:hAnsi="Times New Roman" w:cs="Times New Roman"/>
                <w:kern w:val="0"/>
                <w:sz w:val="24"/>
                <w:szCs w:val="24"/>
                <w:lang w:eastAsia="en-IE"/>
                <w14:ligatures w14:val="none"/>
              </w:rPr>
              <w:t xml:space="preserve">The Department has been working with Inland Fisheries Ireland to review existing legislation and develop legislative proposals to modernise the regulatory framework, provide stronger enforcement tools and address pressures such as climate change, water quality and habitat degradation. </w:t>
            </w:r>
          </w:p>
          <w:p w14:paraId="6E01F455" w14:textId="06A8E898" w:rsidR="00690AF2" w:rsidRPr="002432CE" w:rsidRDefault="00690AF2" w:rsidP="00690AF2">
            <w:pPr>
              <w:spacing w:after="0" w:line="240" w:lineRule="auto"/>
              <w:rPr>
                <w:rFonts w:ascii="Times New Roman" w:eastAsia="Times New Roman" w:hAnsi="Times New Roman" w:cs="Times New Roman"/>
                <w:kern w:val="0"/>
                <w:sz w:val="24"/>
                <w:szCs w:val="24"/>
                <w:lang w:eastAsia="en-IE"/>
                <w14:ligatures w14:val="none"/>
              </w:rPr>
            </w:pPr>
          </w:p>
        </w:tc>
      </w:tr>
    </w:tbl>
    <w:p w14:paraId="64A02E8B" w14:textId="396488C1" w:rsidR="00A97FF0" w:rsidRPr="00EF7D2E" w:rsidRDefault="00A97FF0" w:rsidP="00EF7D2E"/>
    <w:sectPr w:rsidR="00A97FF0" w:rsidRPr="00EF7D2E" w:rsidSect="00B673B9">
      <w:pgSz w:w="11906" w:h="16838" w:code="9"/>
      <w:pgMar w:top="1440" w:right="1440" w:bottom="144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2CFFB" w14:textId="77777777" w:rsidR="00933B8F" w:rsidRDefault="00933B8F" w:rsidP="008D66D1">
      <w:pPr>
        <w:spacing w:after="0" w:line="240" w:lineRule="auto"/>
      </w:pPr>
      <w:r>
        <w:separator/>
      </w:r>
    </w:p>
  </w:endnote>
  <w:endnote w:type="continuationSeparator" w:id="0">
    <w:p w14:paraId="30D2C8A7" w14:textId="77777777" w:rsidR="00933B8F" w:rsidRDefault="00933B8F" w:rsidP="008D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9636" w14:textId="77777777" w:rsidR="00933B8F" w:rsidRDefault="00933B8F" w:rsidP="008D66D1">
      <w:pPr>
        <w:spacing w:after="0" w:line="240" w:lineRule="auto"/>
      </w:pPr>
      <w:r>
        <w:separator/>
      </w:r>
    </w:p>
  </w:footnote>
  <w:footnote w:type="continuationSeparator" w:id="0">
    <w:p w14:paraId="1EB7C0C7" w14:textId="77777777" w:rsidR="00933B8F" w:rsidRDefault="00933B8F" w:rsidP="008D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593"/>
    <w:multiLevelType w:val="hybridMultilevel"/>
    <w:tmpl w:val="7F345D5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1AA7FB8"/>
    <w:multiLevelType w:val="hybridMultilevel"/>
    <w:tmpl w:val="E9BED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2F0E3E"/>
    <w:multiLevelType w:val="hybridMultilevel"/>
    <w:tmpl w:val="60AE46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E3202"/>
    <w:multiLevelType w:val="hybridMultilevel"/>
    <w:tmpl w:val="11BA4FA6"/>
    <w:lvl w:ilvl="0" w:tplc="FAD8E246">
      <w:numFmt w:val="bullet"/>
      <w:lvlText w:val="•"/>
      <w:lvlJc w:val="left"/>
      <w:pPr>
        <w:ind w:left="1080" w:hanging="72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DB17AE8"/>
    <w:multiLevelType w:val="hybridMultilevel"/>
    <w:tmpl w:val="FC7CAE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1460662A"/>
    <w:multiLevelType w:val="hybridMultilevel"/>
    <w:tmpl w:val="C1C2C1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FAF2DC5"/>
    <w:multiLevelType w:val="hybridMultilevel"/>
    <w:tmpl w:val="18909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84B639B"/>
    <w:multiLevelType w:val="hybridMultilevel"/>
    <w:tmpl w:val="F83CC2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BDD5693"/>
    <w:multiLevelType w:val="hybridMultilevel"/>
    <w:tmpl w:val="400441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89622087">
    <w:abstractNumId w:val="3"/>
  </w:num>
  <w:num w:numId="2" w16cid:durableId="1217618208">
    <w:abstractNumId w:val="3"/>
  </w:num>
  <w:num w:numId="3" w16cid:durableId="653484749">
    <w:abstractNumId w:val="2"/>
  </w:num>
  <w:num w:numId="4" w16cid:durableId="1053967022">
    <w:abstractNumId w:val="4"/>
  </w:num>
  <w:num w:numId="5" w16cid:durableId="1197157468">
    <w:abstractNumId w:val="1"/>
  </w:num>
  <w:num w:numId="6" w16cid:durableId="475800181">
    <w:abstractNumId w:val="7"/>
  </w:num>
  <w:num w:numId="7" w16cid:durableId="1724211854">
    <w:abstractNumId w:val="6"/>
  </w:num>
  <w:num w:numId="8" w16cid:durableId="1243225717">
    <w:abstractNumId w:val="0"/>
  </w:num>
  <w:num w:numId="9" w16cid:durableId="1270117891">
    <w:abstractNumId w:val="5"/>
  </w:num>
  <w:num w:numId="10" w16cid:durableId="259026777">
    <w:abstractNumId w:val="0"/>
  </w:num>
  <w:num w:numId="11" w16cid:durableId="153272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FA"/>
    <w:rsid w:val="00017C85"/>
    <w:rsid w:val="00023723"/>
    <w:rsid w:val="00024CD4"/>
    <w:rsid w:val="000556C4"/>
    <w:rsid w:val="000651F6"/>
    <w:rsid w:val="0007008D"/>
    <w:rsid w:val="00075DEC"/>
    <w:rsid w:val="000838EF"/>
    <w:rsid w:val="00095245"/>
    <w:rsid w:val="000A57C2"/>
    <w:rsid w:val="000A611F"/>
    <w:rsid w:val="000B25AA"/>
    <w:rsid w:val="000C4475"/>
    <w:rsid w:val="000D7AD1"/>
    <w:rsid w:val="00121FAE"/>
    <w:rsid w:val="00124F95"/>
    <w:rsid w:val="001365BD"/>
    <w:rsid w:val="001370EB"/>
    <w:rsid w:val="001544EF"/>
    <w:rsid w:val="00174CD0"/>
    <w:rsid w:val="00182542"/>
    <w:rsid w:val="001B2FB4"/>
    <w:rsid w:val="00221778"/>
    <w:rsid w:val="00222402"/>
    <w:rsid w:val="0022396E"/>
    <w:rsid w:val="00233E60"/>
    <w:rsid w:val="002432CE"/>
    <w:rsid w:val="0025329F"/>
    <w:rsid w:val="0027591E"/>
    <w:rsid w:val="002A685F"/>
    <w:rsid w:val="002D6936"/>
    <w:rsid w:val="00315D61"/>
    <w:rsid w:val="00322851"/>
    <w:rsid w:val="00330683"/>
    <w:rsid w:val="003338C8"/>
    <w:rsid w:val="00333B1F"/>
    <w:rsid w:val="003344B4"/>
    <w:rsid w:val="0033489A"/>
    <w:rsid w:val="00343617"/>
    <w:rsid w:val="0038335E"/>
    <w:rsid w:val="003972DB"/>
    <w:rsid w:val="003A78CF"/>
    <w:rsid w:val="003B09D8"/>
    <w:rsid w:val="003B41C9"/>
    <w:rsid w:val="003C33DD"/>
    <w:rsid w:val="00413B00"/>
    <w:rsid w:val="004177CE"/>
    <w:rsid w:val="0043794F"/>
    <w:rsid w:val="00477B4F"/>
    <w:rsid w:val="00491CB0"/>
    <w:rsid w:val="004A25FA"/>
    <w:rsid w:val="004A3D71"/>
    <w:rsid w:val="004A7FB8"/>
    <w:rsid w:val="004B69D3"/>
    <w:rsid w:val="004F0B36"/>
    <w:rsid w:val="004F797F"/>
    <w:rsid w:val="00502511"/>
    <w:rsid w:val="00535C12"/>
    <w:rsid w:val="00554CA7"/>
    <w:rsid w:val="005566B5"/>
    <w:rsid w:val="00592322"/>
    <w:rsid w:val="00594736"/>
    <w:rsid w:val="0059491F"/>
    <w:rsid w:val="00597B2D"/>
    <w:rsid w:val="005A06D3"/>
    <w:rsid w:val="005E52DF"/>
    <w:rsid w:val="0060197C"/>
    <w:rsid w:val="006069A6"/>
    <w:rsid w:val="00626A5B"/>
    <w:rsid w:val="00656CB6"/>
    <w:rsid w:val="00662340"/>
    <w:rsid w:val="006674B7"/>
    <w:rsid w:val="0067274B"/>
    <w:rsid w:val="00690AF2"/>
    <w:rsid w:val="00690CB4"/>
    <w:rsid w:val="006A4BE4"/>
    <w:rsid w:val="006A55C6"/>
    <w:rsid w:val="006B4008"/>
    <w:rsid w:val="006B60A9"/>
    <w:rsid w:val="006C63D8"/>
    <w:rsid w:val="006E0B1B"/>
    <w:rsid w:val="006E4E7E"/>
    <w:rsid w:val="006F13C1"/>
    <w:rsid w:val="006F1E5E"/>
    <w:rsid w:val="006F3C29"/>
    <w:rsid w:val="00745356"/>
    <w:rsid w:val="007630FB"/>
    <w:rsid w:val="007651B5"/>
    <w:rsid w:val="007D7BFA"/>
    <w:rsid w:val="007F11FA"/>
    <w:rsid w:val="007F7903"/>
    <w:rsid w:val="0081423A"/>
    <w:rsid w:val="00827B40"/>
    <w:rsid w:val="00845AC0"/>
    <w:rsid w:val="00852E64"/>
    <w:rsid w:val="00854DB5"/>
    <w:rsid w:val="008662BF"/>
    <w:rsid w:val="00873061"/>
    <w:rsid w:val="00883C83"/>
    <w:rsid w:val="0088561A"/>
    <w:rsid w:val="00890D71"/>
    <w:rsid w:val="00894FCF"/>
    <w:rsid w:val="008A3813"/>
    <w:rsid w:val="008A3D31"/>
    <w:rsid w:val="008D66D1"/>
    <w:rsid w:val="008F659A"/>
    <w:rsid w:val="009021A8"/>
    <w:rsid w:val="009023CF"/>
    <w:rsid w:val="00913C00"/>
    <w:rsid w:val="00933B8F"/>
    <w:rsid w:val="009521F3"/>
    <w:rsid w:val="00974DE0"/>
    <w:rsid w:val="00990158"/>
    <w:rsid w:val="00993615"/>
    <w:rsid w:val="009A49C4"/>
    <w:rsid w:val="00A10C32"/>
    <w:rsid w:val="00A1481D"/>
    <w:rsid w:val="00A211AB"/>
    <w:rsid w:val="00A6120A"/>
    <w:rsid w:val="00A8045D"/>
    <w:rsid w:val="00A87C2C"/>
    <w:rsid w:val="00A93A62"/>
    <w:rsid w:val="00A97FF0"/>
    <w:rsid w:val="00AB0F7E"/>
    <w:rsid w:val="00AC2191"/>
    <w:rsid w:val="00AD2D7D"/>
    <w:rsid w:val="00AD65F2"/>
    <w:rsid w:val="00AE1F61"/>
    <w:rsid w:val="00AE29F8"/>
    <w:rsid w:val="00B00420"/>
    <w:rsid w:val="00B236C6"/>
    <w:rsid w:val="00B255FE"/>
    <w:rsid w:val="00B338C4"/>
    <w:rsid w:val="00B44D04"/>
    <w:rsid w:val="00B5121C"/>
    <w:rsid w:val="00B673B9"/>
    <w:rsid w:val="00B80941"/>
    <w:rsid w:val="00B825DD"/>
    <w:rsid w:val="00B877AC"/>
    <w:rsid w:val="00B93EE0"/>
    <w:rsid w:val="00B96A3D"/>
    <w:rsid w:val="00BA2D87"/>
    <w:rsid w:val="00BB1135"/>
    <w:rsid w:val="00BB22F1"/>
    <w:rsid w:val="00BB5D37"/>
    <w:rsid w:val="00BE0758"/>
    <w:rsid w:val="00C05306"/>
    <w:rsid w:val="00C11EB1"/>
    <w:rsid w:val="00C236A0"/>
    <w:rsid w:val="00C3479E"/>
    <w:rsid w:val="00C56A3B"/>
    <w:rsid w:val="00CA09C5"/>
    <w:rsid w:val="00CA65FF"/>
    <w:rsid w:val="00CB015F"/>
    <w:rsid w:val="00CB175C"/>
    <w:rsid w:val="00CC0937"/>
    <w:rsid w:val="00CF0407"/>
    <w:rsid w:val="00CF1BFD"/>
    <w:rsid w:val="00D11DBA"/>
    <w:rsid w:val="00D12476"/>
    <w:rsid w:val="00D21D69"/>
    <w:rsid w:val="00D4752E"/>
    <w:rsid w:val="00D522AF"/>
    <w:rsid w:val="00DC1099"/>
    <w:rsid w:val="00DD7D17"/>
    <w:rsid w:val="00DF48C9"/>
    <w:rsid w:val="00E15E2A"/>
    <w:rsid w:val="00E2495B"/>
    <w:rsid w:val="00E24B0C"/>
    <w:rsid w:val="00E25D07"/>
    <w:rsid w:val="00E40D1F"/>
    <w:rsid w:val="00E80230"/>
    <w:rsid w:val="00EA22BB"/>
    <w:rsid w:val="00EB6BE5"/>
    <w:rsid w:val="00EB6D10"/>
    <w:rsid w:val="00ED18B9"/>
    <w:rsid w:val="00EE21C2"/>
    <w:rsid w:val="00EF7D2E"/>
    <w:rsid w:val="00F1119E"/>
    <w:rsid w:val="00F12160"/>
    <w:rsid w:val="00F12896"/>
    <w:rsid w:val="00F571D3"/>
    <w:rsid w:val="00F71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5F46"/>
  <w15:chartTrackingRefBased/>
  <w15:docId w15:val="{DC6AB34F-0881-4378-9448-FEE658DC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BFA"/>
    <w:rPr>
      <w:rFonts w:eastAsiaTheme="majorEastAsia" w:cstheme="majorBidi"/>
      <w:color w:val="272727" w:themeColor="text1" w:themeTint="D8"/>
    </w:rPr>
  </w:style>
  <w:style w:type="paragraph" w:styleId="Title">
    <w:name w:val="Title"/>
    <w:basedOn w:val="Normal"/>
    <w:next w:val="Normal"/>
    <w:link w:val="TitleChar"/>
    <w:uiPriority w:val="10"/>
    <w:qFormat/>
    <w:rsid w:val="007D7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BFA"/>
    <w:pPr>
      <w:spacing w:before="160"/>
      <w:jc w:val="center"/>
    </w:pPr>
    <w:rPr>
      <w:i/>
      <w:iCs/>
      <w:color w:val="404040" w:themeColor="text1" w:themeTint="BF"/>
    </w:rPr>
  </w:style>
  <w:style w:type="character" w:customStyle="1" w:styleId="QuoteChar">
    <w:name w:val="Quote Char"/>
    <w:basedOn w:val="DefaultParagraphFont"/>
    <w:link w:val="Quote"/>
    <w:uiPriority w:val="29"/>
    <w:rsid w:val="007D7BF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Graphic"/>
    <w:basedOn w:val="Normal"/>
    <w:link w:val="ListParagraphChar"/>
    <w:uiPriority w:val="34"/>
    <w:qFormat/>
    <w:rsid w:val="007D7BFA"/>
    <w:pPr>
      <w:ind w:left="720"/>
      <w:contextualSpacing/>
    </w:pPr>
  </w:style>
  <w:style w:type="character" w:styleId="IntenseEmphasis">
    <w:name w:val="Intense Emphasis"/>
    <w:basedOn w:val="DefaultParagraphFont"/>
    <w:uiPriority w:val="21"/>
    <w:qFormat/>
    <w:rsid w:val="007D7BFA"/>
    <w:rPr>
      <w:i/>
      <w:iCs/>
      <w:color w:val="0F4761" w:themeColor="accent1" w:themeShade="BF"/>
    </w:rPr>
  </w:style>
  <w:style w:type="paragraph" w:styleId="IntenseQuote">
    <w:name w:val="Intense Quote"/>
    <w:basedOn w:val="Normal"/>
    <w:next w:val="Normal"/>
    <w:link w:val="IntenseQuoteChar"/>
    <w:uiPriority w:val="30"/>
    <w:qFormat/>
    <w:rsid w:val="007D7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BFA"/>
    <w:rPr>
      <w:i/>
      <w:iCs/>
      <w:color w:val="0F4761" w:themeColor="accent1" w:themeShade="BF"/>
    </w:rPr>
  </w:style>
  <w:style w:type="character" w:styleId="IntenseReference">
    <w:name w:val="Intense Reference"/>
    <w:basedOn w:val="DefaultParagraphFont"/>
    <w:uiPriority w:val="32"/>
    <w:qFormat/>
    <w:rsid w:val="007D7BFA"/>
    <w:rPr>
      <w:b/>
      <w:bCs/>
      <w:smallCaps/>
      <w:color w:val="0F4761" w:themeColor="accent1" w:themeShade="BF"/>
      <w:spacing w:val="5"/>
    </w:rPr>
  </w:style>
  <w:style w:type="table" w:styleId="TableGrid">
    <w:name w:val="Table Grid"/>
    <w:basedOn w:val="TableNormal"/>
    <w:uiPriority w:val="39"/>
    <w:rsid w:val="007D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AC0"/>
    <w:pPr>
      <w:spacing w:after="0" w:line="240" w:lineRule="auto"/>
    </w:pPr>
  </w:style>
  <w:style w:type="character" w:styleId="CommentReference">
    <w:name w:val="annotation reference"/>
    <w:basedOn w:val="DefaultParagraphFont"/>
    <w:uiPriority w:val="99"/>
    <w:semiHidden/>
    <w:unhideWhenUsed/>
    <w:rsid w:val="00845AC0"/>
    <w:rPr>
      <w:sz w:val="16"/>
      <w:szCs w:val="16"/>
    </w:rPr>
  </w:style>
  <w:style w:type="paragraph" w:styleId="CommentText">
    <w:name w:val="annotation text"/>
    <w:basedOn w:val="Normal"/>
    <w:link w:val="CommentTextChar"/>
    <w:uiPriority w:val="99"/>
    <w:unhideWhenUsed/>
    <w:rsid w:val="00845AC0"/>
    <w:pPr>
      <w:spacing w:line="240" w:lineRule="auto"/>
    </w:pPr>
    <w:rPr>
      <w:sz w:val="20"/>
      <w:szCs w:val="20"/>
    </w:rPr>
  </w:style>
  <w:style w:type="character" w:customStyle="1" w:styleId="CommentTextChar">
    <w:name w:val="Comment Text Char"/>
    <w:basedOn w:val="DefaultParagraphFont"/>
    <w:link w:val="CommentText"/>
    <w:uiPriority w:val="99"/>
    <w:rsid w:val="00845AC0"/>
    <w:rPr>
      <w:sz w:val="20"/>
      <w:szCs w:val="20"/>
    </w:rPr>
  </w:style>
  <w:style w:type="paragraph" w:styleId="CommentSubject">
    <w:name w:val="annotation subject"/>
    <w:basedOn w:val="CommentText"/>
    <w:next w:val="CommentText"/>
    <w:link w:val="CommentSubjectChar"/>
    <w:uiPriority w:val="99"/>
    <w:semiHidden/>
    <w:unhideWhenUsed/>
    <w:rsid w:val="00845AC0"/>
    <w:rPr>
      <w:b/>
      <w:bCs/>
    </w:rPr>
  </w:style>
  <w:style w:type="character" w:customStyle="1" w:styleId="CommentSubjectChar">
    <w:name w:val="Comment Subject Char"/>
    <w:basedOn w:val="CommentTextChar"/>
    <w:link w:val="CommentSubject"/>
    <w:uiPriority w:val="99"/>
    <w:semiHidden/>
    <w:rsid w:val="00845AC0"/>
    <w:rPr>
      <w:b/>
      <w:bCs/>
      <w:sz w:val="20"/>
      <w:szCs w:val="20"/>
    </w:rPr>
  </w:style>
  <w:style w:type="paragraph" w:styleId="Header">
    <w:name w:val="header"/>
    <w:basedOn w:val="Normal"/>
    <w:link w:val="HeaderChar"/>
    <w:uiPriority w:val="99"/>
    <w:unhideWhenUsed/>
    <w:rsid w:val="008D6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6D1"/>
  </w:style>
  <w:style w:type="paragraph" w:styleId="Footer">
    <w:name w:val="footer"/>
    <w:basedOn w:val="Normal"/>
    <w:link w:val="FooterChar"/>
    <w:uiPriority w:val="99"/>
    <w:unhideWhenUsed/>
    <w:rsid w:val="008D6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6D1"/>
  </w:style>
  <w:style w:type="paragraph" w:styleId="NormalWeb">
    <w:name w:val="Normal (Web)"/>
    <w:basedOn w:val="Normal"/>
    <w:uiPriority w:val="99"/>
    <w:unhideWhenUsed/>
    <w:rsid w:val="00974D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74DE0"/>
    <w:rPr>
      <w:i/>
      <w:iCs/>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basedOn w:val="DefaultParagraphFont"/>
    <w:link w:val="ListParagraph"/>
    <w:uiPriority w:val="34"/>
    <w:qFormat/>
    <w:locked/>
    <w:rsid w:val="009A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524710">
      <w:bodyDiv w:val="1"/>
      <w:marLeft w:val="0"/>
      <w:marRight w:val="0"/>
      <w:marTop w:val="0"/>
      <w:marBottom w:val="0"/>
      <w:divBdr>
        <w:top w:val="none" w:sz="0" w:space="0" w:color="auto"/>
        <w:left w:val="none" w:sz="0" w:space="0" w:color="auto"/>
        <w:bottom w:val="none" w:sz="0" w:space="0" w:color="auto"/>
        <w:right w:val="none" w:sz="0" w:space="0" w:color="auto"/>
      </w:divBdr>
    </w:div>
    <w:div w:id="1609317194">
      <w:bodyDiv w:val="1"/>
      <w:marLeft w:val="0"/>
      <w:marRight w:val="0"/>
      <w:marTop w:val="0"/>
      <w:marBottom w:val="0"/>
      <w:divBdr>
        <w:top w:val="none" w:sz="0" w:space="0" w:color="auto"/>
        <w:left w:val="none" w:sz="0" w:space="0" w:color="auto"/>
        <w:bottom w:val="none" w:sz="0" w:space="0" w:color="auto"/>
        <w:right w:val="none" w:sz="0" w:space="0" w:color="auto"/>
      </w:divBdr>
    </w:div>
    <w:div w:id="18319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B25EC-3C60-440F-99A2-64B7D24B8825}">
  <ds:schemaRefs>
    <ds:schemaRef ds:uri="http://schemas.openxmlformats.org/officeDocument/2006/bibliography"/>
  </ds:schemaRefs>
</ds:datastoreItem>
</file>

<file path=customXml/itemProps2.xml><?xml version="1.0" encoding="utf-8"?>
<ds:datastoreItem xmlns:ds="http://schemas.openxmlformats.org/officeDocument/2006/customXml" ds:itemID="{6E49BF54-3730-407F-8805-652B6924E52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3893299-7EF2-4A26-9C17-7CF4EF056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083176-627D-41F5-AF7C-8A7FFFF651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2812</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Devlin (DCEE)</dc:creator>
  <cp:keywords/>
  <dc:description/>
  <cp:lastModifiedBy>Brendan Devlin (DCEE)</cp:lastModifiedBy>
  <cp:revision>5</cp:revision>
  <dcterms:created xsi:type="dcterms:W3CDTF">2025-12-03T11:34:00Z</dcterms:created>
  <dcterms:modified xsi:type="dcterms:W3CDTF">2025-12-03T12:29:00Z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