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ayout w:type="fixed"/>
        <w:tblCellMar>
          <w:left w:w="0" w:type="dxa"/>
          <w:right w:w="0" w:type="dxa"/>
        </w:tblCellMar>
        <w:tblLook w:val="00BF" w:firstRow="1" w:lastRow="0" w:firstColumn="1" w:lastColumn="0" w:noHBand="0" w:noVBand="0"/>
      </w:tblPr>
      <w:tblGrid>
        <w:gridCol w:w="2322"/>
        <w:gridCol w:w="2323"/>
        <w:gridCol w:w="2323"/>
        <w:gridCol w:w="2323"/>
        <w:gridCol w:w="2323"/>
        <w:gridCol w:w="2328"/>
      </w:tblGrid>
      <w:tr w:rsidR="009D4A34" w14:paraId="15790697" w14:textId="77777777" w:rsidTr="009D4A34">
        <w:tc>
          <w:tcPr>
            <w:tcW w:w="5000" w:type="pct"/>
            <w:gridSpan w:val="6"/>
            <w:tcBorders>
              <w:top w:val="single" w:sz="6" w:space="0" w:color="auto"/>
              <w:left w:val="single" w:sz="6" w:space="0" w:color="auto"/>
              <w:bottom w:val="single" w:sz="6" w:space="0" w:color="auto"/>
              <w:right w:val="single" w:sz="6" w:space="0" w:color="auto"/>
            </w:tcBorders>
          </w:tcPr>
          <w:p w14:paraId="4D06B5CB" w14:textId="263F65DF" w:rsidR="009D4A34" w:rsidRDefault="009D4A34">
            <w:pPr>
              <w:keepNext/>
              <w:keepLines/>
              <w:autoSpaceDE w:val="0"/>
              <w:autoSpaceDN w:val="0"/>
              <w:adjustRightInd w:val="0"/>
              <w:spacing w:after="0" w:line="240" w:lineRule="auto"/>
              <w:ind w:left="15"/>
              <w:rPr>
                <w:rFonts w:ascii="Tms Rmn" w:hAnsi="Tms Rmn" w:cs="Tms Rmn"/>
                <w:color w:val="000000"/>
                <w:kern w:val="0"/>
                <w:sz w:val="24"/>
                <w:szCs w:val="24"/>
              </w:rPr>
            </w:pPr>
            <w:r w:rsidRPr="009D4A34">
              <w:rPr>
                <w:rFonts w:ascii="Tms Rmn" w:hAnsi="Tms Rmn" w:cs="Tms Rmn"/>
                <w:b/>
                <w:bCs/>
                <w:color w:val="000000"/>
                <w:kern w:val="0"/>
                <w:sz w:val="24"/>
                <w:szCs w:val="24"/>
              </w:rPr>
              <w:t>Table 4A: Application for International Protection and Permission to Remain</w:t>
            </w:r>
          </w:p>
        </w:tc>
      </w:tr>
      <w:tr w:rsidR="009D4A34" w14:paraId="00218BD8" w14:textId="77777777" w:rsidTr="009D4A34">
        <w:tc>
          <w:tcPr>
            <w:tcW w:w="833" w:type="pct"/>
            <w:tcBorders>
              <w:top w:val="single" w:sz="6" w:space="0" w:color="auto"/>
              <w:left w:val="single" w:sz="6" w:space="0" w:color="auto"/>
              <w:bottom w:val="single" w:sz="6" w:space="0" w:color="auto"/>
              <w:right w:val="single" w:sz="6" w:space="0" w:color="auto"/>
            </w:tcBorders>
          </w:tcPr>
          <w:p w14:paraId="18C7DD07" w14:textId="12624F3F"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Case Stage </w:t>
            </w:r>
          </w:p>
        </w:tc>
        <w:tc>
          <w:tcPr>
            <w:tcW w:w="833" w:type="pct"/>
            <w:tcBorders>
              <w:top w:val="single" w:sz="6" w:space="0" w:color="auto"/>
              <w:left w:val="single" w:sz="6" w:space="0" w:color="auto"/>
              <w:bottom w:val="single" w:sz="6" w:space="0" w:color="auto"/>
              <w:right w:val="single" w:sz="6" w:space="0" w:color="auto"/>
            </w:tcBorders>
          </w:tcPr>
          <w:p w14:paraId="46771010" w14:textId="6086F1F6"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This fee covers </w:t>
            </w:r>
          </w:p>
        </w:tc>
        <w:tc>
          <w:tcPr>
            <w:tcW w:w="833" w:type="pct"/>
            <w:tcBorders>
              <w:top w:val="single" w:sz="6" w:space="0" w:color="auto"/>
              <w:left w:val="single" w:sz="6" w:space="0" w:color="auto"/>
              <w:bottom w:val="single" w:sz="6" w:space="0" w:color="auto"/>
              <w:right w:val="single" w:sz="6" w:space="0" w:color="auto"/>
            </w:tcBorders>
          </w:tcPr>
          <w:p w14:paraId="60B00A54" w14:textId="33FD4E8C"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Fee can be claimed when </w:t>
            </w:r>
          </w:p>
        </w:tc>
        <w:tc>
          <w:tcPr>
            <w:tcW w:w="833" w:type="pct"/>
            <w:tcBorders>
              <w:top w:val="single" w:sz="6" w:space="0" w:color="auto"/>
              <w:left w:val="single" w:sz="6" w:space="0" w:color="auto"/>
              <w:bottom w:val="single" w:sz="6" w:space="0" w:color="auto"/>
              <w:right w:val="single" w:sz="6" w:space="0" w:color="auto"/>
            </w:tcBorders>
          </w:tcPr>
          <w:p w14:paraId="5C893485" w14:textId="17BB2515"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Applicant fees </w:t>
            </w:r>
          </w:p>
        </w:tc>
        <w:tc>
          <w:tcPr>
            <w:tcW w:w="833" w:type="pct"/>
            <w:tcBorders>
              <w:top w:val="single" w:sz="6" w:space="0" w:color="auto"/>
              <w:left w:val="single" w:sz="6" w:space="0" w:color="auto"/>
              <w:bottom w:val="single" w:sz="6" w:space="0" w:color="auto"/>
              <w:right w:val="single" w:sz="6" w:space="0" w:color="auto"/>
            </w:tcBorders>
          </w:tcPr>
          <w:p w14:paraId="16B0C3C3" w14:textId="018A5067"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Spouse fees </w:t>
            </w:r>
          </w:p>
        </w:tc>
        <w:tc>
          <w:tcPr>
            <w:tcW w:w="835" w:type="pct"/>
            <w:tcBorders>
              <w:top w:val="single" w:sz="6" w:space="0" w:color="auto"/>
              <w:left w:val="single" w:sz="6" w:space="0" w:color="auto"/>
              <w:bottom w:val="single" w:sz="6" w:space="0" w:color="auto"/>
              <w:right w:val="single" w:sz="6" w:space="0" w:color="auto"/>
            </w:tcBorders>
          </w:tcPr>
          <w:p w14:paraId="1652C378" w14:textId="323B349E"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Child</w:t>
            </w:r>
            <w:r>
              <w:rPr>
                <w:rFonts w:ascii="Tms Rmn" w:hAnsi="Tms Rmn" w:cs="Tms Rmn"/>
                <w:b/>
                <w:bCs/>
                <w:color w:val="000000"/>
                <w:kern w:val="0"/>
                <w:sz w:val="24"/>
                <w:szCs w:val="24"/>
              </w:rPr>
              <w:br/>
              <w:t>fees</w:t>
            </w:r>
            <w:r>
              <w:rPr>
                <w:rFonts w:ascii="Tms Rmn" w:hAnsi="Tms Rmn" w:cs="Tms Rmn"/>
                <w:color w:val="000000"/>
                <w:kern w:val="0"/>
                <w:sz w:val="24"/>
                <w:szCs w:val="24"/>
              </w:rPr>
              <w:t xml:space="preserve"> </w:t>
            </w:r>
          </w:p>
        </w:tc>
      </w:tr>
      <w:tr w:rsidR="009D4A34" w14:paraId="46E601B6" w14:textId="77777777" w:rsidTr="009D4A34">
        <w:tc>
          <w:tcPr>
            <w:tcW w:w="833" w:type="pct"/>
            <w:tcBorders>
              <w:top w:val="single" w:sz="6" w:space="0" w:color="auto"/>
              <w:left w:val="single" w:sz="6" w:space="0" w:color="auto"/>
              <w:bottom w:val="single" w:sz="6" w:space="0" w:color="auto"/>
              <w:right w:val="single" w:sz="6" w:space="0" w:color="auto"/>
            </w:tcBorders>
          </w:tcPr>
          <w:p w14:paraId="5EFE7A2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Application for International Protection Questionnaire</w:t>
            </w:r>
          </w:p>
        </w:tc>
        <w:tc>
          <w:tcPr>
            <w:tcW w:w="833" w:type="pct"/>
            <w:tcBorders>
              <w:top w:val="single" w:sz="6" w:space="0" w:color="auto"/>
              <w:left w:val="single" w:sz="6" w:space="0" w:color="auto"/>
              <w:bottom w:val="single" w:sz="6" w:space="0" w:color="auto"/>
              <w:right w:val="single" w:sz="6" w:space="0" w:color="auto"/>
            </w:tcBorders>
          </w:tcPr>
          <w:p w14:paraId="63A176A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Assistance with the making an application for international protection and permission to remain in the State, including advice in relation to the provision of material reception conditions and access to the labour market.</w:t>
            </w:r>
          </w:p>
        </w:tc>
        <w:tc>
          <w:tcPr>
            <w:tcW w:w="833" w:type="pct"/>
            <w:tcBorders>
              <w:top w:val="single" w:sz="6" w:space="0" w:color="auto"/>
              <w:left w:val="single" w:sz="6" w:space="0" w:color="auto"/>
              <w:bottom w:val="single" w:sz="6" w:space="0" w:color="auto"/>
              <w:right w:val="single" w:sz="6" w:space="0" w:color="auto"/>
            </w:tcBorders>
          </w:tcPr>
          <w:p w14:paraId="44518C8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applicant’s Application for International Protection Questionnaire has been submitted to the International Protection Office</w:t>
            </w:r>
            <w:r>
              <w:rPr>
                <w:rFonts w:ascii="Tms Rmn" w:hAnsi="Tms Rmn" w:cs="Tms Rmn"/>
                <w:color w:val="000000"/>
                <w:kern w:val="0"/>
                <w:sz w:val="24"/>
                <w:szCs w:val="24"/>
              </w:rPr>
              <w:br/>
              <w:t xml:space="preserve">This fee shall also be claimable when the solicitor has been engaged after the questionnaire has been submitted, </w:t>
            </w:r>
            <w:proofErr w:type="gramStart"/>
            <w:r>
              <w:rPr>
                <w:rFonts w:ascii="Tms Rmn" w:hAnsi="Tms Rmn" w:cs="Tms Rmn"/>
                <w:color w:val="000000"/>
                <w:kern w:val="0"/>
                <w:sz w:val="24"/>
                <w:szCs w:val="24"/>
              </w:rPr>
              <w:t>but,</w:t>
            </w:r>
            <w:proofErr w:type="gramEnd"/>
            <w:r>
              <w:rPr>
                <w:rFonts w:ascii="Tms Rmn" w:hAnsi="Tms Rmn" w:cs="Tms Rmn"/>
                <w:color w:val="000000"/>
                <w:kern w:val="0"/>
                <w:sz w:val="24"/>
                <w:szCs w:val="24"/>
              </w:rPr>
              <w:t xml:space="preserve"> following the taking of instructions the solicitor forms the view that it is necessary to submit an amendment to the questionnaire to the IPO and does so. </w:t>
            </w:r>
          </w:p>
        </w:tc>
        <w:tc>
          <w:tcPr>
            <w:tcW w:w="833" w:type="pct"/>
            <w:tcBorders>
              <w:top w:val="single" w:sz="6" w:space="0" w:color="auto"/>
              <w:left w:val="single" w:sz="6" w:space="0" w:color="auto"/>
              <w:bottom w:val="single" w:sz="6" w:space="0" w:color="auto"/>
              <w:right w:val="single" w:sz="6" w:space="0" w:color="auto"/>
            </w:tcBorders>
          </w:tcPr>
          <w:p w14:paraId="0789092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2F3135E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€150</w:t>
            </w:r>
          </w:p>
        </w:tc>
        <w:tc>
          <w:tcPr>
            <w:tcW w:w="835" w:type="pct"/>
            <w:tcBorders>
              <w:top w:val="single" w:sz="6" w:space="0" w:color="auto"/>
              <w:left w:val="single" w:sz="6" w:space="0" w:color="auto"/>
              <w:bottom w:val="single" w:sz="6" w:space="0" w:color="auto"/>
              <w:right w:val="single" w:sz="6" w:space="0" w:color="auto"/>
            </w:tcBorders>
          </w:tcPr>
          <w:p w14:paraId="0DEC8CE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€85</w:t>
            </w:r>
          </w:p>
        </w:tc>
      </w:tr>
      <w:tr w:rsidR="009D4A34" w14:paraId="5BE4CA95" w14:textId="77777777" w:rsidTr="009D4A34">
        <w:tc>
          <w:tcPr>
            <w:tcW w:w="833" w:type="pct"/>
            <w:tcBorders>
              <w:top w:val="single" w:sz="6" w:space="0" w:color="auto"/>
              <w:left w:val="single" w:sz="6" w:space="0" w:color="auto"/>
              <w:bottom w:val="single" w:sz="6" w:space="0" w:color="auto"/>
              <w:right w:val="single" w:sz="6" w:space="0" w:color="auto"/>
            </w:tcBorders>
          </w:tcPr>
          <w:p w14:paraId="00DC78C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Personal Interview</w:t>
            </w:r>
          </w:p>
        </w:tc>
        <w:tc>
          <w:tcPr>
            <w:tcW w:w="833" w:type="pct"/>
            <w:tcBorders>
              <w:top w:val="single" w:sz="6" w:space="0" w:color="auto"/>
              <w:left w:val="single" w:sz="6" w:space="0" w:color="auto"/>
              <w:bottom w:val="single" w:sz="6" w:space="0" w:color="auto"/>
              <w:right w:val="single" w:sz="6" w:space="0" w:color="auto"/>
            </w:tcBorders>
          </w:tcPr>
          <w:p w14:paraId="25119BEC"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fee covers the provision of legal advice in relation to a personal interview with an international protection officer including the making of submissions in relation to international protection and permission to remain and the obtaining of </w:t>
            </w:r>
            <w:proofErr w:type="gramStart"/>
            <w:r>
              <w:rPr>
                <w:rFonts w:ascii="Tms Rmn" w:hAnsi="Tms Rmn" w:cs="Tms Rmn"/>
                <w:color w:val="000000"/>
                <w:kern w:val="0"/>
                <w:sz w:val="24"/>
                <w:szCs w:val="24"/>
              </w:rPr>
              <w:t>country of origin</w:t>
            </w:r>
            <w:proofErr w:type="gramEnd"/>
            <w:r>
              <w:rPr>
                <w:rFonts w:ascii="Tms Rmn" w:hAnsi="Tms Rmn" w:cs="Tms Rmn"/>
                <w:color w:val="000000"/>
                <w:kern w:val="0"/>
                <w:sz w:val="24"/>
                <w:szCs w:val="24"/>
              </w:rPr>
              <w:t xml:space="preserve"> information. </w:t>
            </w:r>
          </w:p>
        </w:tc>
        <w:tc>
          <w:tcPr>
            <w:tcW w:w="833" w:type="pct"/>
            <w:tcBorders>
              <w:top w:val="single" w:sz="6" w:space="0" w:color="auto"/>
              <w:left w:val="single" w:sz="6" w:space="0" w:color="auto"/>
              <w:bottom w:val="single" w:sz="6" w:space="0" w:color="auto"/>
              <w:right w:val="single" w:sz="6" w:space="0" w:color="auto"/>
            </w:tcBorders>
          </w:tcPr>
          <w:p w14:paraId="2F97605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international protection officer makes a recommendation to the Minister in relation to an applicant’s application for international protection.</w:t>
            </w:r>
          </w:p>
        </w:tc>
        <w:tc>
          <w:tcPr>
            <w:tcW w:w="833" w:type="pct"/>
            <w:tcBorders>
              <w:top w:val="single" w:sz="6" w:space="0" w:color="auto"/>
              <w:left w:val="single" w:sz="6" w:space="0" w:color="auto"/>
              <w:bottom w:val="single" w:sz="6" w:space="0" w:color="auto"/>
              <w:right w:val="single" w:sz="6" w:space="0" w:color="auto"/>
            </w:tcBorders>
          </w:tcPr>
          <w:p w14:paraId="5D58948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2A47053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€150</w:t>
            </w:r>
          </w:p>
        </w:tc>
        <w:tc>
          <w:tcPr>
            <w:tcW w:w="835" w:type="pct"/>
            <w:tcBorders>
              <w:top w:val="single" w:sz="6" w:space="0" w:color="auto"/>
              <w:left w:val="single" w:sz="6" w:space="0" w:color="auto"/>
              <w:bottom w:val="single" w:sz="6" w:space="0" w:color="auto"/>
              <w:right w:val="single" w:sz="6" w:space="0" w:color="auto"/>
            </w:tcBorders>
          </w:tcPr>
          <w:p w14:paraId="019F6B5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€85</w:t>
            </w:r>
          </w:p>
        </w:tc>
      </w:tr>
      <w:tr w:rsidR="009D4A34" w14:paraId="2CE7CCC2" w14:textId="77777777" w:rsidTr="009D4A34">
        <w:tc>
          <w:tcPr>
            <w:tcW w:w="833" w:type="pct"/>
            <w:tcBorders>
              <w:top w:val="single" w:sz="6" w:space="0" w:color="auto"/>
              <w:left w:val="single" w:sz="6" w:space="0" w:color="auto"/>
              <w:bottom w:val="single" w:sz="6" w:space="0" w:color="auto"/>
              <w:right w:val="single" w:sz="6" w:space="0" w:color="auto"/>
            </w:tcBorders>
          </w:tcPr>
          <w:p w14:paraId="733C8CE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Appeal to the International Protection Appeals Tribunal</w:t>
            </w:r>
          </w:p>
        </w:tc>
        <w:tc>
          <w:tcPr>
            <w:tcW w:w="833" w:type="pct"/>
            <w:tcBorders>
              <w:top w:val="single" w:sz="6" w:space="0" w:color="auto"/>
              <w:left w:val="single" w:sz="6" w:space="0" w:color="auto"/>
              <w:bottom w:val="single" w:sz="6" w:space="0" w:color="auto"/>
              <w:right w:val="single" w:sz="6" w:space="0" w:color="auto"/>
            </w:tcBorders>
          </w:tcPr>
          <w:p w14:paraId="74F61F8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fee covers the drafting of a notice of appeal, legal submissions, and advocacy before the Tribunal. </w:t>
            </w:r>
          </w:p>
        </w:tc>
        <w:tc>
          <w:tcPr>
            <w:tcW w:w="833" w:type="pct"/>
            <w:tcBorders>
              <w:top w:val="single" w:sz="6" w:space="0" w:color="auto"/>
              <w:left w:val="single" w:sz="6" w:space="0" w:color="auto"/>
              <w:bottom w:val="single" w:sz="6" w:space="0" w:color="auto"/>
              <w:right w:val="single" w:sz="6" w:space="0" w:color="auto"/>
            </w:tcBorders>
          </w:tcPr>
          <w:p w14:paraId="2124857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Tribunal decides to uphold or overturn the recommendation of the international protection officer.</w:t>
            </w:r>
          </w:p>
        </w:tc>
        <w:tc>
          <w:tcPr>
            <w:tcW w:w="833" w:type="pct"/>
            <w:tcBorders>
              <w:top w:val="single" w:sz="6" w:space="0" w:color="auto"/>
              <w:left w:val="single" w:sz="6" w:space="0" w:color="auto"/>
              <w:bottom w:val="single" w:sz="6" w:space="0" w:color="auto"/>
              <w:right w:val="single" w:sz="6" w:space="0" w:color="auto"/>
            </w:tcBorders>
          </w:tcPr>
          <w:p w14:paraId="111FFC39"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€400 </w:t>
            </w:r>
          </w:p>
        </w:tc>
        <w:tc>
          <w:tcPr>
            <w:tcW w:w="833" w:type="pct"/>
            <w:tcBorders>
              <w:top w:val="single" w:sz="6" w:space="0" w:color="auto"/>
              <w:left w:val="single" w:sz="6" w:space="0" w:color="auto"/>
              <w:bottom w:val="single" w:sz="6" w:space="0" w:color="auto"/>
              <w:right w:val="single" w:sz="6" w:space="0" w:color="auto"/>
            </w:tcBorders>
          </w:tcPr>
          <w:p w14:paraId="131BC4B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€200 </w:t>
            </w:r>
          </w:p>
        </w:tc>
        <w:tc>
          <w:tcPr>
            <w:tcW w:w="835" w:type="pct"/>
            <w:tcBorders>
              <w:top w:val="single" w:sz="6" w:space="0" w:color="auto"/>
              <w:left w:val="single" w:sz="6" w:space="0" w:color="auto"/>
              <w:bottom w:val="single" w:sz="6" w:space="0" w:color="auto"/>
              <w:right w:val="single" w:sz="6" w:space="0" w:color="auto"/>
            </w:tcBorders>
          </w:tcPr>
          <w:p w14:paraId="2B56683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1353BDED" w14:textId="77777777" w:rsidTr="009D4A34">
        <w:tc>
          <w:tcPr>
            <w:tcW w:w="833" w:type="pct"/>
            <w:tcBorders>
              <w:top w:val="single" w:sz="6" w:space="0" w:color="auto"/>
              <w:left w:val="single" w:sz="6" w:space="0" w:color="auto"/>
              <w:bottom w:val="single" w:sz="6" w:space="0" w:color="auto"/>
              <w:right w:val="single" w:sz="6" w:space="0" w:color="auto"/>
            </w:tcBorders>
          </w:tcPr>
          <w:p w14:paraId="53A707B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49DFDE2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Where the accelerated appeal procedure under section 43 IPA applies and there is no oral hearing, a reduced fee shall be payable. </w:t>
            </w:r>
          </w:p>
        </w:tc>
        <w:tc>
          <w:tcPr>
            <w:tcW w:w="833" w:type="pct"/>
            <w:tcBorders>
              <w:top w:val="single" w:sz="6" w:space="0" w:color="auto"/>
              <w:left w:val="single" w:sz="6" w:space="0" w:color="auto"/>
              <w:bottom w:val="single" w:sz="6" w:space="0" w:color="auto"/>
              <w:right w:val="single" w:sz="6" w:space="0" w:color="auto"/>
            </w:tcBorders>
          </w:tcPr>
          <w:p w14:paraId="2C599259"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03502B9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35A3F4E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5" w:type="pct"/>
            <w:tcBorders>
              <w:top w:val="single" w:sz="6" w:space="0" w:color="auto"/>
              <w:left w:val="single" w:sz="6" w:space="0" w:color="auto"/>
              <w:bottom w:val="single" w:sz="6" w:space="0" w:color="auto"/>
              <w:right w:val="single" w:sz="6" w:space="0" w:color="auto"/>
            </w:tcBorders>
          </w:tcPr>
          <w:p w14:paraId="6DF60CB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05927E15" w14:textId="77777777" w:rsidTr="009D4A34">
        <w:tc>
          <w:tcPr>
            <w:tcW w:w="833" w:type="pct"/>
            <w:tcBorders>
              <w:top w:val="single" w:sz="6" w:space="0" w:color="auto"/>
              <w:left w:val="single" w:sz="6" w:space="0" w:color="auto"/>
              <w:bottom w:val="single" w:sz="6" w:space="0" w:color="auto"/>
              <w:right w:val="single" w:sz="6" w:space="0" w:color="auto"/>
            </w:tcBorders>
          </w:tcPr>
          <w:p w14:paraId="0EA9EBF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Review of Permission to Remain (s49)</w:t>
            </w:r>
          </w:p>
        </w:tc>
        <w:tc>
          <w:tcPr>
            <w:tcW w:w="833" w:type="pct"/>
            <w:tcBorders>
              <w:top w:val="single" w:sz="6" w:space="0" w:color="auto"/>
              <w:left w:val="single" w:sz="6" w:space="0" w:color="auto"/>
              <w:bottom w:val="single" w:sz="6" w:space="0" w:color="auto"/>
              <w:right w:val="single" w:sz="6" w:space="0" w:color="auto"/>
            </w:tcBorders>
          </w:tcPr>
          <w:p w14:paraId="27CE256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Provision of legal advice and the making of submissions in relation to a review by the Minister for Justice and Equality in relation to a decision on permission to remain pursuant to section 49 of the International Protection Act 2015. </w:t>
            </w:r>
          </w:p>
        </w:tc>
        <w:tc>
          <w:tcPr>
            <w:tcW w:w="833" w:type="pct"/>
            <w:tcBorders>
              <w:top w:val="single" w:sz="6" w:space="0" w:color="auto"/>
              <w:left w:val="single" w:sz="6" w:space="0" w:color="auto"/>
              <w:bottom w:val="single" w:sz="6" w:space="0" w:color="auto"/>
              <w:right w:val="single" w:sz="6" w:space="0" w:color="auto"/>
            </w:tcBorders>
          </w:tcPr>
          <w:p w14:paraId="2A7E46A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applicant is granted permission to remain in the State or a deportation order is made.</w:t>
            </w:r>
          </w:p>
        </w:tc>
        <w:tc>
          <w:tcPr>
            <w:tcW w:w="833" w:type="pct"/>
            <w:tcBorders>
              <w:top w:val="single" w:sz="6" w:space="0" w:color="auto"/>
              <w:left w:val="single" w:sz="6" w:space="0" w:color="auto"/>
              <w:bottom w:val="single" w:sz="6" w:space="0" w:color="auto"/>
              <w:right w:val="single" w:sz="6" w:space="0" w:color="auto"/>
            </w:tcBorders>
          </w:tcPr>
          <w:p w14:paraId="496A154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€100</w:t>
            </w:r>
          </w:p>
        </w:tc>
        <w:tc>
          <w:tcPr>
            <w:tcW w:w="833" w:type="pct"/>
            <w:tcBorders>
              <w:top w:val="single" w:sz="6" w:space="0" w:color="auto"/>
              <w:left w:val="single" w:sz="6" w:space="0" w:color="auto"/>
              <w:bottom w:val="single" w:sz="6" w:space="0" w:color="auto"/>
              <w:right w:val="single" w:sz="6" w:space="0" w:color="auto"/>
            </w:tcBorders>
          </w:tcPr>
          <w:p w14:paraId="05BFABC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€100 </w:t>
            </w:r>
          </w:p>
        </w:tc>
        <w:tc>
          <w:tcPr>
            <w:tcW w:w="835" w:type="pct"/>
            <w:tcBorders>
              <w:top w:val="single" w:sz="6" w:space="0" w:color="auto"/>
              <w:left w:val="single" w:sz="6" w:space="0" w:color="auto"/>
              <w:bottom w:val="single" w:sz="6" w:space="0" w:color="auto"/>
              <w:right w:val="single" w:sz="6" w:space="0" w:color="auto"/>
            </w:tcBorders>
          </w:tcPr>
          <w:p w14:paraId="252E8AE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38AB4987" w14:textId="77777777" w:rsidTr="009D4A34">
        <w:tc>
          <w:tcPr>
            <w:tcW w:w="833" w:type="pct"/>
            <w:tcBorders>
              <w:top w:val="single" w:sz="6" w:space="0" w:color="auto"/>
              <w:left w:val="single" w:sz="6" w:space="0" w:color="auto"/>
              <w:bottom w:val="single" w:sz="6" w:space="0" w:color="auto"/>
              <w:right w:val="single" w:sz="6" w:space="0" w:color="auto"/>
            </w:tcBorders>
          </w:tcPr>
          <w:p w14:paraId="5FFBA2C6" w14:textId="4059C595"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International</w:t>
            </w:r>
            <w:r>
              <w:rPr>
                <w:rFonts w:ascii="Tms Rmn" w:hAnsi="Tms Rmn" w:cs="Tms Rmn"/>
                <w:color w:val="000000"/>
                <w:kern w:val="0"/>
                <w:sz w:val="24"/>
                <w:szCs w:val="24"/>
              </w:rPr>
              <w:t xml:space="preserve"> </w:t>
            </w:r>
            <w:proofErr w:type="gramStart"/>
            <w:r>
              <w:rPr>
                <w:rFonts w:ascii="Tms Rmn" w:hAnsi="Tms Rmn" w:cs="Tms Rmn"/>
                <w:color w:val="000000"/>
                <w:kern w:val="0"/>
                <w:sz w:val="24"/>
                <w:szCs w:val="24"/>
              </w:rPr>
              <w:t>Protection  Regularisation</w:t>
            </w:r>
            <w:proofErr w:type="gramEnd"/>
            <w:r>
              <w:rPr>
                <w:rFonts w:ascii="Tms Rmn" w:hAnsi="Tms Rmn" w:cs="Tms Rmn"/>
                <w:color w:val="000000"/>
                <w:kern w:val="0"/>
                <w:sz w:val="24"/>
                <w:szCs w:val="24"/>
              </w:rPr>
              <w:t xml:space="preserve"> Scheme of 7th February 2022</w:t>
            </w:r>
          </w:p>
        </w:tc>
        <w:tc>
          <w:tcPr>
            <w:tcW w:w="833" w:type="pct"/>
            <w:tcBorders>
              <w:top w:val="single" w:sz="6" w:space="0" w:color="auto"/>
              <w:left w:val="single" w:sz="6" w:space="0" w:color="auto"/>
              <w:bottom w:val="single" w:sz="6" w:space="0" w:color="auto"/>
              <w:right w:val="single" w:sz="6" w:space="0" w:color="auto"/>
            </w:tcBorders>
          </w:tcPr>
          <w:p w14:paraId="53A07A2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For the provision of legal advice and assistance with making an application pursuant to the International Protection Regularisation Scheme of 7th February 2022.</w:t>
            </w:r>
          </w:p>
        </w:tc>
        <w:tc>
          <w:tcPr>
            <w:tcW w:w="833" w:type="pct"/>
            <w:tcBorders>
              <w:top w:val="single" w:sz="6" w:space="0" w:color="auto"/>
              <w:left w:val="single" w:sz="6" w:space="0" w:color="auto"/>
              <w:bottom w:val="single" w:sz="6" w:space="0" w:color="auto"/>
              <w:right w:val="single" w:sz="6" w:space="0" w:color="auto"/>
            </w:tcBorders>
          </w:tcPr>
          <w:p w14:paraId="4E7AACB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application pursuant to the International Protection Regularisation Scheme is made and the applicant receives a decision on that application.</w:t>
            </w:r>
          </w:p>
        </w:tc>
        <w:tc>
          <w:tcPr>
            <w:tcW w:w="833" w:type="pct"/>
            <w:tcBorders>
              <w:top w:val="single" w:sz="6" w:space="0" w:color="auto"/>
              <w:left w:val="single" w:sz="6" w:space="0" w:color="auto"/>
              <w:bottom w:val="single" w:sz="6" w:space="0" w:color="auto"/>
              <w:right w:val="single" w:sz="6" w:space="0" w:color="auto"/>
            </w:tcBorders>
          </w:tcPr>
          <w:p w14:paraId="5340C91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€100 </w:t>
            </w:r>
          </w:p>
        </w:tc>
        <w:tc>
          <w:tcPr>
            <w:tcW w:w="833" w:type="pct"/>
            <w:tcBorders>
              <w:top w:val="single" w:sz="6" w:space="0" w:color="auto"/>
              <w:left w:val="single" w:sz="6" w:space="0" w:color="auto"/>
              <w:bottom w:val="single" w:sz="6" w:space="0" w:color="auto"/>
              <w:right w:val="single" w:sz="6" w:space="0" w:color="auto"/>
            </w:tcBorders>
          </w:tcPr>
          <w:p w14:paraId="776E49D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5" w:type="pct"/>
            <w:tcBorders>
              <w:top w:val="single" w:sz="6" w:space="0" w:color="auto"/>
              <w:left w:val="single" w:sz="6" w:space="0" w:color="auto"/>
              <w:bottom w:val="single" w:sz="6" w:space="0" w:color="auto"/>
              <w:right w:val="single" w:sz="6" w:space="0" w:color="auto"/>
            </w:tcBorders>
          </w:tcPr>
          <w:p w14:paraId="5D12E36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r>
      <w:tr w:rsidR="009D4A34" w14:paraId="0E9BB31E" w14:textId="77777777" w:rsidTr="009D4A34">
        <w:tc>
          <w:tcPr>
            <w:tcW w:w="833" w:type="pct"/>
            <w:tcBorders>
              <w:top w:val="single" w:sz="6" w:space="0" w:color="auto"/>
              <w:left w:val="single" w:sz="6" w:space="0" w:color="auto"/>
              <w:bottom w:val="single" w:sz="6" w:space="0" w:color="auto"/>
              <w:right w:val="single" w:sz="6" w:space="0" w:color="auto"/>
            </w:tcBorders>
          </w:tcPr>
          <w:p w14:paraId="1E3088B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Revocation or Amendment of Deportation Order </w:t>
            </w:r>
          </w:p>
        </w:tc>
        <w:tc>
          <w:tcPr>
            <w:tcW w:w="833" w:type="pct"/>
            <w:tcBorders>
              <w:top w:val="single" w:sz="6" w:space="0" w:color="auto"/>
              <w:left w:val="single" w:sz="6" w:space="0" w:color="auto"/>
              <w:bottom w:val="single" w:sz="6" w:space="0" w:color="auto"/>
              <w:right w:val="single" w:sz="6" w:space="0" w:color="auto"/>
            </w:tcBorders>
          </w:tcPr>
          <w:p w14:paraId="46FA026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Provision of legal advice in relation to a deportation order made by the Minister for Justice and Equality, pursuant to section 3 of the Immigration Act 1999, to include any representations to the Minister in relation to the possible amendment or revocation of the deportation order.</w:t>
            </w:r>
          </w:p>
        </w:tc>
        <w:tc>
          <w:tcPr>
            <w:tcW w:w="833" w:type="pct"/>
            <w:tcBorders>
              <w:top w:val="single" w:sz="6" w:space="0" w:color="auto"/>
              <w:left w:val="single" w:sz="6" w:space="0" w:color="auto"/>
              <w:bottom w:val="single" w:sz="6" w:space="0" w:color="auto"/>
              <w:right w:val="single" w:sz="6" w:space="0" w:color="auto"/>
            </w:tcBorders>
          </w:tcPr>
          <w:p w14:paraId="003A805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Minister decides or refuses (as the case may be) to review or amend the deportation order.</w:t>
            </w:r>
          </w:p>
        </w:tc>
        <w:tc>
          <w:tcPr>
            <w:tcW w:w="833" w:type="pct"/>
            <w:tcBorders>
              <w:top w:val="single" w:sz="6" w:space="0" w:color="auto"/>
              <w:left w:val="single" w:sz="6" w:space="0" w:color="auto"/>
              <w:bottom w:val="single" w:sz="6" w:space="0" w:color="auto"/>
              <w:right w:val="single" w:sz="6" w:space="0" w:color="auto"/>
            </w:tcBorders>
          </w:tcPr>
          <w:p w14:paraId="5F5B0E9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434B36B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5" w:type="pct"/>
            <w:tcBorders>
              <w:top w:val="single" w:sz="6" w:space="0" w:color="auto"/>
              <w:left w:val="single" w:sz="6" w:space="0" w:color="auto"/>
              <w:bottom w:val="single" w:sz="6" w:space="0" w:color="auto"/>
              <w:right w:val="single" w:sz="6" w:space="0" w:color="auto"/>
            </w:tcBorders>
          </w:tcPr>
          <w:p w14:paraId="377E980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bl>
    <w:p w14:paraId="06334691" w14:textId="74834512" w:rsidR="009D4A34" w:rsidRDefault="009D4A34" w:rsidP="009D4A34">
      <w:pPr>
        <w:autoSpaceDE w:val="0"/>
        <w:autoSpaceDN w:val="0"/>
        <w:adjustRightInd w:val="0"/>
        <w:spacing w:before="240" w:after="0" w:line="240" w:lineRule="auto"/>
        <w:rPr>
          <w:rFonts w:ascii="Tms Rmn" w:hAnsi="Tms Rmn" w:cs="Tms Rmn"/>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2322"/>
        <w:gridCol w:w="2323"/>
        <w:gridCol w:w="2323"/>
        <w:gridCol w:w="2323"/>
        <w:gridCol w:w="2323"/>
        <w:gridCol w:w="2328"/>
      </w:tblGrid>
      <w:tr w:rsidR="009D4A34" w14:paraId="5C403C1D" w14:textId="77777777" w:rsidTr="009D4A34">
        <w:tc>
          <w:tcPr>
            <w:tcW w:w="5000" w:type="pct"/>
            <w:gridSpan w:val="6"/>
            <w:tcBorders>
              <w:top w:val="single" w:sz="6" w:space="0" w:color="auto"/>
              <w:left w:val="single" w:sz="6" w:space="0" w:color="auto"/>
              <w:bottom w:val="single" w:sz="6" w:space="0" w:color="auto"/>
              <w:right w:val="single" w:sz="6" w:space="0" w:color="auto"/>
            </w:tcBorders>
          </w:tcPr>
          <w:p w14:paraId="55E20E02" w14:textId="2247117F" w:rsidR="009D4A34" w:rsidRPr="009D4A34" w:rsidRDefault="009D4A34">
            <w:pPr>
              <w:keepNext/>
              <w:keepLines/>
              <w:autoSpaceDE w:val="0"/>
              <w:autoSpaceDN w:val="0"/>
              <w:adjustRightInd w:val="0"/>
              <w:spacing w:after="0" w:line="240" w:lineRule="auto"/>
              <w:ind w:left="15"/>
              <w:rPr>
                <w:rFonts w:ascii="Tms Rmn" w:hAnsi="Tms Rmn" w:cs="Tms Rmn"/>
                <w:b/>
                <w:bCs/>
                <w:color w:val="000000"/>
                <w:kern w:val="0"/>
                <w:sz w:val="24"/>
                <w:szCs w:val="24"/>
              </w:rPr>
            </w:pPr>
            <w:r w:rsidRPr="009D4A34">
              <w:rPr>
                <w:rFonts w:ascii="Tms Rmn" w:hAnsi="Tms Rmn" w:cs="Tms Rmn"/>
                <w:b/>
                <w:bCs/>
                <w:color w:val="000000"/>
                <w:kern w:val="0"/>
                <w:sz w:val="24"/>
                <w:szCs w:val="24"/>
              </w:rPr>
              <w:lastRenderedPageBreak/>
              <w:t>Table 4B: Additional fees payable in cases being processed under Regulation (EU) 604/2013 (“Dublin III Regulation”)</w:t>
            </w:r>
          </w:p>
        </w:tc>
      </w:tr>
      <w:tr w:rsidR="009D4A34" w14:paraId="70A18F63" w14:textId="77777777">
        <w:tc>
          <w:tcPr>
            <w:tcW w:w="833" w:type="pct"/>
            <w:tcBorders>
              <w:top w:val="single" w:sz="6" w:space="0" w:color="auto"/>
              <w:left w:val="single" w:sz="6" w:space="0" w:color="auto"/>
              <w:bottom w:val="single" w:sz="6" w:space="0" w:color="auto"/>
              <w:right w:val="single" w:sz="6" w:space="0" w:color="auto"/>
            </w:tcBorders>
          </w:tcPr>
          <w:p w14:paraId="2C88E6F5" w14:textId="53FE5EAB"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Case Stage </w:t>
            </w:r>
          </w:p>
        </w:tc>
        <w:tc>
          <w:tcPr>
            <w:tcW w:w="833" w:type="pct"/>
            <w:tcBorders>
              <w:top w:val="single" w:sz="6" w:space="0" w:color="auto"/>
              <w:left w:val="single" w:sz="6" w:space="0" w:color="auto"/>
              <w:bottom w:val="single" w:sz="6" w:space="0" w:color="auto"/>
              <w:right w:val="single" w:sz="6" w:space="0" w:color="auto"/>
            </w:tcBorders>
          </w:tcPr>
          <w:p w14:paraId="1B1108E4" w14:textId="6082AEB8"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This fee covers </w:t>
            </w:r>
          </w:p>
        </w:tc>
        <w:tc>
          <w:tcPr>
            <w:tcW w:w="833" w:type="pct"/>
            <w:tcBorders>
              <w:top w:val="single" w:sz="6" w:space="0" w:color="auto"/>
              <w:left w:val="single" w:sz="6" w:space="0" w:color="auto"/>
              <w:bottom w:val="single" w:sz="6" w:space="0" w:color="auto"/>
              <w:right w:val="single" w:sz="6" w:space="0" w:color="auto"/>
            </w:tcBorders>
          </w:tcPr>
          <w:p w14:paraId="778EDC08" w14:textId="1075C407"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Fee can be claimed when </w:t>
            </w:r>
          </w:p>
        </w:tc>
        <w:tc>
          <w:tcPr>
            <w:tcW w:w="833" w:type="pct"/>
            <w:tcBorders>
              <w:top w:val="single" w:sz="6" w:space="0" w:color="auto"/>
              <w:left w:val="single" w:sz="6" w:space="0" w:color="auto"/>
              <w:bottom w:val="single" w:sz="6" w:space="0" w:color="auto"/>
              <w:right w:val="single" w:sz="6" w:space="0" w:color="auto"/>
            </w:tcBorders>
          </w:tcPr>
          <w:p w14:paraId="3E9C0A81" w14:textId="10EE0BB3"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Applicant fees </w:t>
            </w:r>
          </w:p>
        </w:tc>
        <w:tc>
          <w:tcPr>
            <w:tcW w:w="833" w:type="pct"/>
            <w:tcBorders>
              <w:top w:val="single" w:sz="6" w:space="0" w:color="auto"/>
              <w:left w:val="single" w:sz="6" w:space="0" w:color="auto"/>
              <w:bottom w:val="single" w:sz="6" w:space="0" w:color="auto"/>
              <w:right w:val="single" w:sz="6" w:space="0" w:color="auto"/>
            </w:tcBorders>
          </w:tcPr>
          <w:p w14:paraId="034BCA6A" w14:textId="17438CA0"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Spouse fees </w:t>
            </w:r>
          </w:p>
        </w:tc>
        <w:tc>
          <w:tcPr>
            <w:tcW w:w="833" w:type="pct"/>
            <w:tcBorders>
              <w:top w:val="single" w:sz="6" w:space="0" w:color="auto"/>
              <w:left w:val="single" w:sz="6" w:space="0" w:color="auto"/>
              <w:bottom w:val="single" w:sz="6" w:space="0" w:color="auto"/>
              <w:right w:val="single" w:sz="6" w:space="0" w:color="auto"/>
            </w:tcBorders>
          </w:tcPr>
          <w:p w14:paraId="0DA0E5EE" w14:textId="15768B41"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Child fees</w:t>
            </w:r>
            <w:r>
              <w:rPr>
                <w:rFonts w:ascii="Tms Rmn" w:hAnsi="Tms Rmn" w:cs="Tms Rmn"/>
                <w:color w:val="000000"/>
                <w:kern w:val="0"/>
                <w:sz w:val="24"/>
                <w:szCs w:val="24"/>
              </w:rPr>
              <w:t xml:space="preserve"> </w:t>
            </w:r>
          </w:p>
        </w:tc>
      </w:tr>
      <w:tr w:rsidR="009D4A34" w14:paraId="6B4E40A6" w14:textId="77777777">
        <w:tc>
          <w:tcPr>
            <w:tcW w:w="833" w:type="pct"/>
            <w:tcBorders>
              <w:top w:val="single" w:sz="6" w:space="0" w:color="auto"/>
              <w:left w:val="single" w:sz="6" w:space="0" w:color="auto"/>
              <w:bottom w:val="single" w:sz="6" w:space="0" w:color="auto"/>
              <w:right w:val="single" w:sz="6" w:space="0" w:color="auto"/>
            </w:tcBorders>
          </w:tcPr>
          <w:p w14:paraId="274F192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Dublin III </w:t>
            </w:r>
            <w:proofErr w:type="gramStart"/>
            <w:r>
              <w:rPr>
                <w:rFonts w:ascii="Tms Rmn" w:hAnsi="Tms Rmn" w:cs="Tms Rmn"/>
                <w:color w:val="000000"/>
                <w:kern w:val="0"/>
                <w:sz w:val="24"/>
                <w:szCs w:val="24"/>
              </w:rPr>
              <w:t>Advices</w:t>
            </w:r>
            <w:proofErr w:type="gramEnd"/>
            <w:r>
              <w:rPr>
                <w:rFonts w:ascii="Tms Rmn" w:hAnsi="Tms Rmn" w:cs="Tms Rmn"/>
                <w:color w:val="000000"/>
                <w:kern w:val="0"/>
                <w:sz w:val="24"/>
                <w:szCs w:val="24"/>
              </w:rPr>
              <w:t xml:space="preserve"> and Submissions to IPO </w:t>
            </w:r>
          </w:p>
        </w:tc>
        <w:tc>
          <w:tcPr>
            <w:tcW w:w="833" w:type="pct"/>
            <w:tcBorders>
              <w:top w:val="single" w:sz="6" w:space="0" w:color="auto"/>
              <w:left w:val="single" w:sz="6" w:space="0" w:color="auto"/>
              <w:bottom w:val="single" w:sz="6" w:space="0" w:color="auto"/>
              <w:right w:val="single" w:sz="6" w:space="0" w:color="auto"/>
            </w:tcBorders>
          </w:tcPr>
          <w:p w14:paraId="2083AC6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Provision of </w:t>
            </w:r>
            <w:proofErr w:type="gramStart"/>
            <w:r>
              <w:rPr>
                <w:rFonts w:ascii="Tms Rmn" w:hAnsi="Tms Rmn" w:cs="Tms Rmn"/>
                <w:color w:val="000000"/>
                <w:kern w:val="0"/>
                <w:sz w:val="24"/>
                <w:szCs w:val="24"/>
              </w:rPr>
              <w:t>advices</w:t>
            </w:r>
            <w:proofErr w:type="gramEnd"/>
            <w:r>
              <w:rPr>
                <w:rFonts w:ascii="Tms Rmn" w:hAnsi="Tms Rmn" w:cs="Tms Rmn"/>
                <w:color w:val="000000"/>
                <w:kern w:val="0"/>
                <w:sz w:val="24"/>
                <w:szCs w:val="24"/>
              </w:rPr>
              <w:t xml:space="preserve"> and representations to the Protection Office where the client’s application is being processed under the Dublin III Regulation, including advices in relation to Article 5 interview if same has not yet taken place, and to include submissions in relation to Dublin III where appropriate.      </w:t>
            </w:r>
          </w:p>
        </w:tc>
        <w:tc>
          <w:tcPr>
            <w:tcW w:w="833" w:type="pct"/>
            <w:tcBorders>
              <w:top w:val="single" w:sz="6" w:space="0" w:color="auto"/>
              <w:left w:val="single" w:sz="6" w:space="0" w:color="auto"/>
              <w:bottom w:val="single" w:sz="6" w:space="0" w:color="auto"/>
              <w:right w:val="single" w:sz="6" w:space="0" w:color="auto"/>
            </w:tcBorders>
          </w:tcPr>
          <w:p w14:paraId="7678D13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 decision on </w:t>
            </w:r>
            <w:proofErr w:type="gramStart"/>
            <w:r>
              <w:rPr>
                <w:rFonts w:ascii="Tms Rmn" w:hAnsi="Tms Rmn" w:cs="Tms Rmn"/>
                <w:color w:val="000000"/>
                <w:kern w:val="0"/>
                <w:sz w:val="24"/>
                <w:szCs w:val="24"/>
              </w:rPr>
              <w:t>whether or not</w:t>
            </w:r>
            <w:proofErr w:type="gramEnd"/>
            <w:r>
              <w:rPr>
                <w:rFonts w:ascii="Tms Rmn" w:hAnsi="Tms Rmn" w:cs="Tms Rmn"/>
                <w:color w:val="000000"/>
                <w:kern w:val="0"/>
                <w:sz w:val="24"/>
                <w:szCs w:val="24"/>
              </w:rPr>
              <w:t xml:space="preserve"> to transfer to the client to another jurisdiction under Dublin III is taken. </w:t>
            </w:r>
          </w:p>
        </w:tc>
        <w:tc>
          <w:tcPr>
            <w:tcW w:w="833" w:type="pct"/>
            <w:tcBorders>
              <w:top w:val="single" w:sz="6" w:space="0" w:color="auto"/>
              <w:left w:val="single" w:sz="6" w:space="0" w:color="auto"/>
              <w:bottom w:val="single" w:sz="6" w:space="0" w:color="auto"/>
              <w:right w:val="single" w:sz="6" w:space="0" w:color="auto"/>
            </w:tcBorders>
          </w:tcPr>
          <w:p w14:paraId="13FF0BD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€195</w:t>
            </w:r>
          </w:p>
        </w:tc>
        <w:tc>
          <w:tcPr>
            <w:tcW w:w="833" w:type="pct"/>
            <w:tcBorders>
              <w:top w:val="single" w:sz="6" w:space="0" w:color="auto"/>
              <w:left w:val="single" w:sz="6" w:space="0" w:color="auto"/>
              <w:bottom w:val="single" w:sz="6" w:space="0" w:color="auto"/>
              <w:right w:val="single" w:sz="6" w:space="0" w:color="auto"/>
            </w:tcBorders>
          </w:tcPr>
          <w:p w14:paraId="3A76F1E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€100</w:t>
            </w:r>
          </w:p>
        </w:tc>
        <w:tc>
          <w:tcPr>
            <w:tcW w:w="833" w:type="pct"/>
            <w:tcBorders>
              <w:top w:val="single" w:sz="6" w:space="0" w:color="auto"/>
              <w:left w:val="single" w:sz="6" w:space="0" w:color="auto"/>
              <w:bottom w:val="single" w:sz="6" w:space="0" w:color="auto"/>
              <w:right w:val="single" w:sz="6" w:space="0" w:color="auto"/>
            </w:tcBorders>
          </w:tcPr>
          <w:p w14:paraId="002A215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€80</w:t>
            </w:r>
          </w:p>
        </w:tc>
      </w:tr>
      <w:tr w:rsidR="009D4A34" w14:paraId="71EE03DF" w14:textId="77777777">
        <w:tc>
          <w:tcPr>
            <w:tcW w:w="833" w:type="pct"/>
            <w:tcBorders>
              <w:top w:val="single" w:sz="6" w:space="0" w:color="auto"/>
              <w:left w:val="single" w:sz="6" w:space="0" w:color="auto"/>
              <w:bottom w:val="single" w:sz="6" w:space="0" w:color="auto"/>
              <w:right w:val="single" w:sz="6" w:space="0" w:color="auto"/>
            </w:tcBorders>
          </w:tcPr>
          <w:p w14:paraId="34132109"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B. Dublin III Appeal </w:t>
            </w:r>
          </w:p>
        </w:tc>
        <w:tc>
          <w:tcPr>
            <w:tcW w:w="833" w:type="pct"/>
            <w:tcBorders>
              <w:top w:val="single" w:sz="6" w:space="0" w:color="auto"/>
              <w:left w:val="single" w:sz="6" w:space="0" w:color="auto"/>
              <w:bottom w:val="single" w:sz="6" w:space="0" w:color="auto"/>
              <w:right w:val="single" w:sz="6" w:space="0" w:color="auto"/>
            </w:tcBorders>
          </w:tcPr>
          <w:p w14:paraId="5CE71A6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Provision of advice, drafting notice of appeal and representation at the International Protection Appeals Tribunal for the purpose of an appeal against a decision to transfer the client to another EU jurisdiction on foot of the provisions of the Dublin III Regulation.</w:t>
            </w:r>
          </w:p>
        </w:tc>
        <w:tc>
          <w:tcPr>
            <w:tcW w:w="833" w:type="pct"/>
            <w:tcBorders>
              <w:top w:val="single" w:sz="6" w:space="0" w:color="auto"/>
              <w:left w:val="single" w:sz="6" w:space="0" w:color="auto"/>
              <w:bottom w:val="single" w:sz="6" w:space="0" w:color="auto"/>
              <w:right w:val="single" w:sz="6" w:space="0" w:color="auto"/>
            </w:tcBorders>
          </w:tcPr>
          <w:p w14:paraId="28EBD95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Tribunal decides to uphold or overturn the decision to transfer to the client to another jurisdiction under Dublin III. </w:t>
            </w:r>
          </w:p>
        </w:tc>
        <w:tc>
          <w:tcPr>
            <w:tcW w:w="833" w:type="pct"/>
            <w:tcBorders>
              <w:top w:val="single" w:sz="6" w:space="0" w:color="auto"/>
              <w:left w:val="single" w:sz="6" w:space="0" w:color="auto"/>
              <w:bottom w:val="single" w:sz="6" w:space="0" w:color="auto"/>
              <w:right w:val="single" w:sz="6" w:space="0" w:color="auto"/>
            </w:tcBorders>
          </w:tcPr>
          <w:p w14:paraId="7AFE0A9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7EE8315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€150 </w:t>
            </w:r>
          </w:p>
        </w:tc>
        <w:tc>
          <w:tcPr>
            <w:tcW w:w="833" w:type="pct"/>
            <w:tcBorders>
              <w:top w:val="single" w:sz="6" w:space="0" w:color="auto"/>
              <w:left w:val="single" w:sz="6" w:space="0" w:color="auto"/>
              <w:bottom w:val="single" w:sz="6" w:space="0" w:color="auto"/>
              <w:right w:val="single" w:sz="6" w:space="0" w:color="auto"/>
            </w:tcBorders>
          </w:tcPr>
          <w:p w14:paraId="2CB9E0B3"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bl>
    <w:p w14:paraId="531781D7" w14:textId="5DD33CA2" w:rsidR="009D4A34" w:rsidRDefault="009D4A34" w:rsidP="009D4A34">
      <w:pPr>
        <w:autoSpaceDE w:val="0"/>
        <w:autoSpaceDN w:val="0"/>
        <w:adjustRightInd w:val="0"/>
        <w:spacing w:before="240" w:after="0" w:line="240" w:lineRule="auto"/>
        <w:rPr>
          <w:rFonts w:ascii="Tms Rmn" w:hAnsi="Tms Rmn" w:cs="Tms Rmn"/>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2322"/>
        <w:gridCol w:w="2323"/>
        <w:gridCol w:w="2323"/>
        <w:gridCol w:w="2323"/>
        <w:gridCol w:w="2323"/>
        <w:gridCol w:w="2328"/>
      </w:tblGrid>
      <w:tr w:rsidR="009D4A34" w14:paraId="74A1E2C3" w14:textId="77777777" w:rsidTr="009D4A34">
        <w:tc>
          <w:tcPr>
            <w:tcW w:w="5000" w:type="pct"/>
            <w:gridSpan w:val="6"/>
            <w:tcBorders>
              <w:top w:val="single" w:sz="6" w:space="0" w:color="auto"/>
              <w:left w:val="single" w:sz="6" w:space="0" w:color="auto"/>
              <w:bottom w:val="single" w:sz="6" w:space="0" w:color="auto"/>
              <w:right w:val="single" w:sz="6" w:space="0" w:color="auto"/>
            </w:tcBorders>
          </w:tcPr>
          <w:p w14:paraId="089C70D9" w14:textId="58B9C0A6" w:rsidR="009D4A34" w:rsidRPr="009D4A34" w:rsidRDefault="009D4A34">
            <w:pPr>
              <w:keepNext/>
              <w:keepLines/>
              <w:autoSpaceDE w:val="0"/>
              <w:autoSpaceDN w:val="0"/>
              <w:adjustRightInd w:val="0"/>
              <w:spacing w:after="0" w:line="240" w:lineRule="auto"/>
              <w:ind w:left="15"/>
              <w:rPr>
                <w:rFonts w:ascii="Tms Rmn" w:hAnsi="Tms Rmn" w:cs="Tms Rmn"/>
                <w:b/>
                <w:bCs/>
                <w:color w:val="000000"/>
                <w:kern w:val="0"/>
                <w:sz w:val="24"/>
                <w:szCs w:val="24"/>
              </w:rPr>
            </w:pPr>
            <w:r w:rsidRPr="009D4A34">
              <w:rPr>
                <w:rFonts w:ascii="Tms Rmn" w:hAnsi="Tms Rmn" w:cs="Tms Rmn"/>
                <w:b/>
                <w:bCs/>
                <w:color w:val="000000"/>
                <w:kern w:val="0"/>
                <w:sz w:val="24"/>
                <w:szCs w:val="24"/>
              </w:rPr>
              <w:lastRenderedPageBreak/>
              <w:t>Table 4C: Other Fees Payable in International Protection Matters</w:t>
            </w:r>
          </w:p>
        </w:tc>
      </w:tr>
      <w:tr w:rsidR="009D4A34" w14:paraId="57D41B63" w14:textId="77777777">
        <w:tc>
          <w:tcPr>
            <w:tcW w:w="833" w:type="pct"/>
            <w:tcBorders>
              <w:top w:val="single" w:sz="6" w:space="0" w:color="auto"/>
              <w:left w:val="single" w:sz="6" w:space="0" w:color="auto"/>
              <w:bottom w:val="single" w:sz="6" w:space="0" w:color="auto"/>
              <w:right w:val="single" w:sz="6" w:space="0" w:color="auto"/>
            </w:tcBorders>
          </w:tcPr>
          <w:p w14:paraId="76F76945" w14:textId="656C00D9"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Matter </w:t>
            </w:r>
          </w:p>
        </w:tc>
        <w:tc>
          <w:tcPr>
            <w:tcW w:w="833" w:type="pct"/>
            <w:tcBorders>
              <w:top w:val="single" w:sz="6" w:space="0" w:color="auto"/>
              <w:left w:val="single" w:sz="6" w:space="0" w:color="auto"/>
              <w:bottom w:val="single" w:sz="6" w:space="0" w:color="auto"/>
              <w:right w:val="single" w:sz="6" w:space="0" w:color="auto"/>
            </w:tcBorders>
          </w:tcPr>
          <w:p w14:paraId="0C8E802B" w14:textId="7B6984CE"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This fee covers </w:t>
            </w:r>
          </w:p>
        </w:tc>
        <w:tc>
          <w:tcPr>
            <w:tcW w:w="833" w:type="pct"/>
            <w:tcBorders>
              <w:top w:val="single" w:sz="6" w:space="0" w:color="auto"/>
              <w:left w:val="single" w:sz="6" w:space="0" w:color="auto"/>
              <w:bottom w:val="single" w:sz="6" w:space="0" w:color="auto"/>
              <w:right w:val="single" w:sz="6" w:space="0" w:color="auto"/>
            </w:tcBorders>
          </w:tcPr>
          <w:p w14:paraId="51D7AE16" w14:textId="1A18DC55"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Fee can be claimed when </w:t>
            </w:r>
          </w:p>
        </w:tc>
        <w:tc>
          <w:tcPr>
            <w:tcW w:w="833" w:type="pct"/>
            <w:tcBorders>
              <w:top w:val="single" w:sz="6" w:space="0" w:color="auto"/>
              <w:left w:val="single" w:sz="6" w:space="0" w:color="auto"/>
              <w:bottom w:val="single" w:sz="6" w:space="0" w:color="auto"/>
              <w:right w:val="single" w:sz="6" w:space="0" w:color="auto"/>
            </w:tcBorders>
          </w:tcPr>
          <w:p w14:paraId="5A3E723C" w14:textId="46C96858"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Applicant fees </w:t>
            </w:r>
          </w:p>
        </w:tc>
        <w:tc>
          <w:tcPr>
            <w:tcW w:w="833" w:type="pct"/>
            <w:tcBorders>
              <w:top w:val="single" w:sz="6" w:space="0" w:color="auto"/>
              <w:left w:val="single" w:sz="6" w:space="0" w:color="auto"/>
              <w:bottom w:val="single" w:sz="6" w:space="0" w:color="auto"/>
              <w:right w:val="single" w:sz="6" w:space="0" w:color="auto"/>
            </w:tcBorders>
          </w:tcPr>
          <w:p w14:paraId="28B14562" w14:textId="37B4CC0A"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Spouse fees </w:t>
            </w:r>
          </w:p>
        </w:tc>
        <w:tc>
          <w:tcPr>
            <w:tcW w:w="833" w:type="pct"/>
            <w:tcBorders>
              <w:top w:val="single" w:sz="6" w:space="0" w:color="auto"/>
              <w:left w:val="single" w:sz="6" w:space="0" w:color="auto"/>
              <w:bottom w:val="single" w:sz="6" w:space="0" w:color="auto"/>
              <w:right w:val="single" w:sz="6" w:space="0" w:color="auto"/>
            </w:tcBorders>
          </w:tcPr>
          <w:p w14:paraId="33BF956C" w14:textId="2E046DD5"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Child fees</w:t>
            </w:r>
            <w:r>
              <w:rPr>
                <w:rFonts w:ascii="Tms Rmn" w:hAnsi="Tms Rmn" w:cs="Tms Rmn"/>
                <w:color w:val="000000"/>
                <w:kern w:val="0"/>
                <w:sz w:val="24"/>
                <w:szCs w:val="24"/>
              </w:rPr>
              <w:t xml:space="preserve"> </w:t>
            </w:r>
          </w:p>
        </w:tc>
      </w:tr>
      <w:tr w:rsidR="009D4A34" w14:paraId="79C8DFCD" w14:textId="77777777">
        <w:tc>
          <w:tcPr>
            <w:tcW w:w="833" w:type="pct"/>
            <w:tcBorders>
              <w:top w:val="single" w:sz="6" w:space="0" w:color="auto"/>
              <w:left w:val="single" w:sz="6" w:space="0" w:color="auto"/>
              <w:bottom w:val="single" w:sz="6" w:space="0" w:color="auto"/>
              <w:right w:val="single" w:sz="6" w:space="0" w:color="auto"/>
            </w:tcBorders>
          </w:tcPr>
          <w:p w14:paraId="018539F2" w14:textId="1DE3B026"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Revocation of</w:t>
            </w:r>
            <w:r>
              <w:rPr>
                <w:rFonts w:ascii="Tms Rmn" w:hAnsi="Tms Rmn" w:cs="Tms Rmn"/>
                <w:color w:val="000000"/>
                <w:kern w:val="0"/>
                <w:sz w:val="24"/>
                <w:szCs w:val="24"/>
              </w:rPr>
              <w:t xml:space="preserve"> </w:t>
            </w:r>
            <w:r>
              <w:rPr>
                <w:rFonts w:ascii="Tms Rmn" w:hAnsi="Tms Rmn" w:cs="Tms Rmn"/>
                <w:color w:val="000000"/>
                <w:kern w:val="0"/>
                <w:sz w:val="24"/>
                <w:szCs w:val="24"/>
              </w:rPr>
              <w:t xml:space="preserve">Asylum/Subsidiary Protection Status (s52 IPA) </w:t>
            </w:r>
          </w:p>
        </w:tc>
        <w:tc>
          <w:tcPr>
            <w:tcW w:w="833" w:type="pct"/>
            <w:tcBorders>
              <w:top w:val="single" w:sz="6" w:space="0" w:color="auto"/>
              <w:left w:val="single" w:sz="6" w:space="0" w:color="auto"/>
              <w:bottom w:val="single" w:sz="6" w:space="0" w:color="auto"/>
              <w:right w:val="single" w:sz="6" w:space="0" w:color="auto"/>
            </w:tcBorders>
          </w:tcPr>
          <w:p w14:paraId="6F0CA9F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Advice, </w:t>
            </w:r>
            <w:proofErr w:type="gramStart"/>
            <w:r>
              <w:rPr>
                <w:rFonts w:ascii="Tms Rmn" w:hAnsi="Tms Rmn" w:cs="Tms Rmn"/>
                <w:color w:val="000000"/>
                <w:kern w:val="0"/>
                <w:sz w:val="24"/>
                <w:szCs w:val="24"/>
              </w:rPr>
              <w:t>submissions</w:t>
            </w:r>
            <w:proofErr w:type="gramEnd"/>
            <w:r>
              <w:rPr>
                <w:rFonts w:ascii="Tms Rmn" w:hAnsi="Tms Rmn" w:cs="Tms Rmn"/>
                <w:color w:val="000000"/>
                <w:kern w:val="0"/>
                <w:sz w:val="24"/>
                <w:szCs w:val="24"/>
              </w:rPr>
              <w:t xml:space="preserve"> and representation in the Circuit Court, covering all matters in relation to the revocation of refugee declaration or subsidiary protection declaration under section 52 of the International Protection Act 2015.</w:t>
            </w:r>
          </w:p>
        </w:tc>
        <w:tc>
          <w:tcPr>
            <w:tcW w:w="833" w:type="pct"/>
            <w:tcBorders>
              <w:top w:val="single" w:sz="6" w:space="0" w:color="auto"/>
              <w:left w:val="single" w:sz="6" w:space="0" w:color="auto"/>
              <w:bottom w:val="single" w:sz="6" w:space="0" w:color="auto"/>
              <w:right w:val="single" w:sz="6" w:space="0" w:color="auto"/>
            </w:tcBorders>
          </w:tcPr>
          <w:p w14:paraId="53E24E2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Minister decides, following representations, not to revoke the applicant’s declaration of refugee or subsidiary protection status. Alternatively, when an order of the Circuit Court is made. </w:t>
            </w:r>
          </w:p>
        </w:tc>
        <w:tc>
          <w:tcPr>
            <w:tcW w:w="833" w:type="pct"/>
            <w:tcBorders>
              <w:top w:val="single" w:sz="6" w:space="0" w:color="auto"/>
              <w:left w:val="single" w:sz="6" w:space="0" w:color="auto"/>
              <w:bottom w:val="single" w:sz="6" w:space="0" w:color="auto"/>
              <w:right w:val="single" w:sz="6" w:space="0" w:color="auto"/>
            </w:tcBorders>
          </w:tcPr>
          <w:p w14:paraId="2BDC8A6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€600 </w:t>
            </w:r>
          </w:p>
        </w:tc>
        <w:tc>
          <w:tcPr>
            <w:tcW w:w="833" w:type="pct"/>
            <w:tcBorders>
              <w:top w:val="single" w:sz="6" w:space="0" w:color="auto"/>
              <w:left w:val="single" w:sz="6" w:space="0" w:color="auto"/>
              <w:bottom w:val="single" w:sz="6" w:space="0" w:color="auto"/>
              <w:right w:val="single" w:sz="6" w:space="0" w:color="auto"/>
            </w:tcBorders>
          </w:tcPr>
          <w:p w14:paraId="46B75F2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03CA0FB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7E78ED70" w14:textId="77777777">
        <w:tc>
          <w:tcPr>
            <w:tcW w:w="833" w:type="pct"/>
            <w:tcBorders>
              <w:top w:val="single" w:sz="6" w:space="0" w:color="auto"/>
              <w:left w:val="single" w:sz="6" w:space="0" w:color="auto"/>
              <w:bottom w:val="single" w:sz="6" w:space="0" w:color="auto"/>
              <w:right w:val="single" w:sz="6" w:space="0" w:color="auto"/>
            </w:tcBorders>
          </w:tcPr>
          <w:p w14:paraId="2A3EA7E5" w14:textId="115904B4"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Inadmissible</w:t>
            </w:r>
            <w:r>
              <w:rPr>
                <w:rFonts w:ascii="Tms Rmn" w:hAnsi="Tms Rmn" w:cs="Tms Rmn"/>
                <w:color w:val="000000"/>
                <w:kern w:val="0"/>
                <w:sz w:val="24"/>
                <w:szCs w:val="24"/>
              </w:rPr>
              <w:t xml:space="preserve"> </w:t>
            </w:r>
            <w:r>
              <w:rPr>
                <w:rFonts w:ascii="Tms Rmn" w:hAnsi="Tms Rmn" w:cs="Tms Rmn"/>
                <w:color w:val="000000"/>
                <w:kern w:val="0"/>
                <w:sz w:val="24"/>
                <w:szCs w:val="24"/>
              </w:rPr>
              <w:t xml:space="preserve">Application (s21 IPA) </w:t>
            </w:r>
          </w:p>
        </w:tc>
        <w:tc>
          <w:tcPr>
            <w:tcW w:w="833" w:type="pct"/>
            <w:tcBorders>
              <w:top w:val="single" w:sz="6" w:space="0" w:color="auto"/>
              <w:left w:val="single" w:sz="6" w:space="0" w:color="auto"/>
              <w:bottom w:val="single" w:sz="6" w:space="0" w:color="auto"/>
              <w:right w:val="single" w:sz="6" w:space="0" w:color="auto"/>
            </w:tcBorders>
          </w:tcPr>
          <w:p w14:paraId="40BBCFB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Advice, </w:t>
            </w:r>
            <w:proofErr w:type="gramStart"/>
            <w:r>
              <w:rPr>
                <w:rFonts w:ascii="Tms Rmn" w:hAnsi="Tms Rmn" w:cs="Tms Rmn"/>
                <w:color w:val="000000"/>
                <w:kern w:val="0"/>
                <w:sz w:val="24"/>
                <w:szCs w:val="24"/>
              </w:rPr>
              <w:t>submissions</w:t>
            </w:r>
            <w:proofErr w:type="gramEnd"/>
            <w:r>
              <w:rPr>
                <w:rFonts w:ascii="Tms Rmn" w:hAnsi="Tms Rmn" w:cs="Tms Rmn"/>
                <w:color w:val="000000"/>
                <w:kern w:val="0"/>
                <w:sz w:val="24"/>
                <w:szCs w:val="24"/>
              </w:rPr>
              <w:t xml:space="preserve"> and an appeal to the International Protection Appeals Tribunal in respect of the inadmissibility of an application under Section 21 of the International Protection Act 2015.</w:t>
            </w:r>
          </w:p>
        </w:tc>
        <w:tc>
          <w:tcPr>
            <w:tcW w:w="833" w:type="pct"/>
            <w:tcBorders>
              <w:top w:val="single" w:sz="6" w:space="0" w:color="auto"/>
              <w:left w:val="single" w:sz="6" w:space="0" w:color="auto"/>
              <w:bottom w:val="single" w:sz="6" w:space="0" w:color="auto"/>
              <w:right w:val="single" w:sz="6" w:space="0" w:color="auto"/>
            </w:tcBorders>
          </w:tcPr>
          <w:p w14:paraId="001D4D7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Minister makes a final decision that the application for international protection is </w:t>
            </w:r>
            <w:proofErr w:type="gramStart"/>
            <w:r>
              <w:rPr>
                <w:rFonts w:ascii="Tms Rmn" w:hAnsi="Tms Rmn" w:cs="Tms Rmn"/>
                <w:color w:val="000000"/>
                <w:kern w:val="0"/>
                <w:sz w:val="24"/>
                <w:szCs w:val="24"/>
              </w:rPr>
              <w:t>inadmissible, or</w:t>
            </w:r>
            <w:proofErr w:type="gramEnd"/>
            <w:r>
              <w:rPr>
                <w:rFonts w:ascii="Tms Rmn" w:hAnsi="Tms Rmn" w:cs="Tms Rmn"/>
                <w:color w:val="000000"/>
                <w:kern w:val="0"/>
                <w:sz w:val="24"/>
                <w:szCs w:val="24"/>
              </w:rPr>
              <w:t xml:space="preserve"> decides to admit the application. </w:t>
            </w:r>
          </w:p>
        </w:tc>
        <w:tc>
          <w:tcPr>
            <w:tcW w:w="833" w:type="pct"/>
            <w:tcBorders>
              <w:top w:val="single" w:sz="6" w:space="0" w:color="auto"/>
              <w:left w:val="single" w:sz="6" w:space="0" w:color="auto"/>
              <w:bottom w:val="single" w:sz="6" w:space="0" w:color="auto"/>
              <w:right w:val="single" w:sz="6" w:space="0" w:color="auto"/>
            </w:tcBorders>
          </w:tcPr>
          <w:p w14:paraId="7F30C25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0C9C58B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€150 </w:t>
            </w:r>
          </w:p>
        </w:tc>
        <w:tc>
          <w:tcPr>
            <w:tcW w:w="833" w:type="pct"/>
            <w:tcBorders>
              <w:top w:val="single" w:sz="6" w:space="0" w:color="auto"/>
              <w:left w:val="single" w:sz="6" w:space="0" w:color="auto"/>
              <w:bottom w:val="single" w:sz="6" w:space="0" w:color="auto"/>
              <w:right w:val="single" w:sz="6" w:space="0" w:color="auto"/>
            </w:tcBorders>
          </w:tcPr>
          <w:p w14:paraId="6504A69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4BD78073" w14:textId="77777777">
        <w:tc>
          <w:tcPr>
            <w:tcW w:w="833" w:type="pct"/>
            <w:tcBorders>
              <w:top w:val="single" w:sz="6" w:space="0" w:color="auto"/>
              <w:left w:val="single" w:sz="6" w:space="0" w:color="auto"/>
              <w:bottom w:val="single" w:sz="6" w:space="0" w:color="auto"/>
              <w:right w:val="single" w:sz="6" w:space="0" w:color="auto"/>
            </w:tcBorders>
          </w:tcPr>
          <w:p w14:paraId="0039CD10" w14:textId="31141E02"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Consent for</w:t>
            </w:r>
            <w:r>
              <w:rPr>
                <w:rFonts w:ascii="Tms Rmn" w:hAnsi="Tms Rmn" w:cs="Tms Rmn"/>
                <w:color w:val="000000"/>
                <w:kern w:val="0"/>
                <w:sz w:val="24"/>
                <w:szCs w:val="24"/>
              </w:rPr>
              <w:t xml:space="preserve"> </w:t>
            </w:r>
            <w:r>
              <w:rPr>
                <w:rFonts w:ascii="Tms Rmn" w:hAnsi="Tms Rmn" w:cs="Tms Rmn"/>
                <w:color w:val="000000"/>
                <w:kern w:val="0"/>
                <w:sz w:val="24"/>
                <w:szCs w:val="24"/>
              </w:rPr>
              <w:t xml:space="preserve">Subsequent Application (s22 IPA) </w:t>
            </w:r>
          </w:p>
        </w:tc>
        <w:tc>
          <w:tcPr>
            <w:tcW w:w="833" w:type="pct"/>
            <w:tcBorders>
              <w:top w:val="single" w:sz="6" w:space="0" w:color="auto"/>
              <w:left w:val="single" w:sz="6" w:space="0" w:color="auto"/>
              <w:bottom w:val="single" w:sz="6" w:space="0" w:color="auto"/>
              <w:right w:val="single" w:sz="6" w:space="0" w:color="auto"/>
            </w:tcBorders>
          </w:tcPr>
          <w:p w14:paraId="447C9D8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Advice and submissions in respect of an application for the consent of the Minister for Justice and Equality to make a subsequent application under Section 22 of the International Protection Act 2015.</w:t>
            </w:r>
          </w:p>
        </w:tc>
        <w:tc>
          <w:tcPr>
            <w:tcW w:w="833" w:type="pct"/>
            <w:tcBorders>
              <w:top w:val="single" w:sz="6" w:space="0" w:color="auto"/>
              <w:left w:val="single" w:sz="6" w:space="0" w:color="auto"/>
              <w:bottom w:val="single" w:sz="6" w:space="0" w:color="auto"/>
              <w:right w:val="single" w:sz="6" w:space="0" w:color="auto"/>
            </w:tcBorders>
          </w:tcPr>
          <w:p w14:paraId="7BB41F2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international protection officer makes a recommendation to the Minister that consent to make a subsequent application should be granted or refused.</w:t>
            </w:r>
          </w:p>
        </w:tc>
        <w:tc>
          <w:tcPr>
            <w:tcW w:w="833" w:type="pct"/>
            <w:tcBorders>
              <w:top w:val="single" w:sz="6" w:space="0" w:color="auto"/>
              <w:left w:val="single" w:sz="6" w:space="0" w:color="auto"/>
              <w:bottom w:val="single" w:sz="6" w:space="0" w:color="auto"/>
              <w:right w:val="single" w:sz="6" w:space="0" w:color="auto"/>
            </w:tcBorders>
          </w:tcPr>
          <w:p w14:paraId="481C24F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7AC2CCB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3" w:type="pct"/>
            <w:tcBorders>
              <w:top w:val="single" w:sz="6" w:space="0" w:color="auto"/>
              <w:left w:val="single" w:sz="6" w:space="0" w:color="auto"/>
              <w:bottom w:val="single" w:sz="6" w:space="0" w:color="auto"/>
              <w:right w:val="single" w:sz="6" w:space="0" w:color="auto"/>
            </w:tcBorders>
          </w:tcPr>
          <w:p w14:paraId="1E33FF5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1B3558E9" w14:textId="77777777">
        <w:tc>
          <w:tcPr>
            <w:tcW w:w="833" w:type="pct"/>
            <w:tcBorders>
              <w:top w:val="single" w:sz="6" w:space="0" w:color="auto"/>
              <w:left w:val="single" w:sz="6" w:space="0" w:color="auto"/>
              <w:bottom w:val="single" w:sz="6" w:space="0" w:color="auto"/>
              <w:right w:val="single" w:sz="6" w:space="0" w:color="auto"/>
            </w:tcBorders>
          </w:tcPr>
          <w:p w14:paraId="25679F6F" w14:textId="264E360F"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Consent for</w:t>
            </w:r>
            <w:r>
              <w:rPr>
                <w:rFonts w:ascii="Tms Rmn" w:hAnsi="Tms Rmn" w:cs="Tms Rmn"/>
                <w:color w:val="000000"/>
                <w:kern w:val="0"/>
                <w:sz w:val="24"/>
                <w:szCs w:val="24"/>
              </w:rPr>
              <w:t xml:space="preserve"> </w:t>
            </w:r>
            <w:r>
              <w:rPr>
                <w:rFonts w:ascii="Tms Rmn" w:hAnsi="Tms Rmn" w:cs="Tms Rmn"/>
                <w:color w:val="000000"/>
                <w:kern w:val="0"/>
                <w:sz w:val="24"/>
                <w:szCs w:val="24"/>
              </w:rPr>
              <w:t xml:space="preserve">Subsequent Application (s22 IPA) – Appeal </w:t>
            </w:r>
          </w:p>
        </w:tc>
        <w:tc>
          <w:tcPr>
            <w:tcW w:w="833" w:type="pct"/>
            <w:tcBorders>
              <w:top w:val="single" w:sz="6" w:space="0" w:color="auto"/>
              <w:left w:val="single" w:sz="6" w:space="0" w:color="auto"/>
              <w:bottom w:val="single" w:sz="6" w:space="0" w:color="auto"/>
              <w:right w:val="single" w:sz="6" w:space="0" w:color="auto"/>
            </w:tcBorders>
          </w:tcPr>
          <w:p w14:paraId="135C2F2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Appeal to the International Protection Appeals Tribunal of a negative recommendation by an international protection officer in relation to an application for consent of the Minister for Justice and Equality to make a subsequent application under Section 22 of the International Protection Act 2015.</w:t>
            </w:r>
          </w:p>
        </w:tc>
        <w:tc>
          <w:tcPr>
            <w:tcW w:w="833" w:type="pct"/>
            <w:tcBorders>
              <w:top w:val="single" w:sz="6" w:space="0" w:color="auto"/>
              <w:left w:val="single" w:sz="6" w:space="0" w:color="auto"/>
              <w:bottom w:val="single" w:sz="6" w:space="0" w:color="auto"/>
              <w:right w:val="single" w:sz="6" w:space="0" w:color="auto"/>
            </w:tcBorders>
          </w:tcPr>
          <w:p w14:paraId="5288DB9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Following determination of the appeal, consent to make a subsequent application is granted or refused. </w:t>
            </w:r>
          </w:p>
        </w:tc>
        <w:tc>
          <w:tcPr>
            <w:tcW w:w="833" w:type="pct"/>
            <w:tcBorders>
              <w:top w:val="single" w:sz="6" w:space="0" w:color="auto"/>
              <w:left w:val="single" w:sz="6" w:space="0" w:color="auto"/>
              <w:bottom w:val="single" w:sz="6" w:space="0" w:color="auto"/>
              <w:right w:val="single" w:sz="6" w:space="0" w:color="auto"/>
            </w:tcBorders>
          </w:tcPr>
          <w:p w14:paraId="675DA23F"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0E263C0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3" w:type="pct"/>
            <w:tcBorders>
              <w:top w:val="single" w:sz="6" w:space="0" w:color="auto"/>
              <w:left w:val="single" w:sz="6" w:space="0" w:color="auto"/>
              <w:bottom w:val="single" w:sz="6" w:space="0" w:color="auto"/>
              <w:right w:val="single" w:sz="6" w:space="0" w:color="auto"/>
            </w:tcBorders>
          </w:tcPr>
          <w:p w14:paraId="6BD9BD0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595C6B8D" w14:textId="77777777">
        <w:tc>
          <w:tcPr>
            <w:tcW w:w="833" w:type="pct"/>
            <w:tcBorders>
              <w:top w:val="single" w:sz="6" w:space="0" w:color="auto"/>
              <w:left w:val="single" w:sz="6" w:space="0" w:color="auto"/>
              <w:bottom w:val="single" w:sz="6" w:space="0" w:color="auto"/>
              <w:right w:val="single" w:sz="6" w:space="0" w:color="auto"/>
            </w:tcBorders>
          </w:tcPr>
          <w:p w14:paraId="68A0B24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Appeal in relation to the material reception conditions and access to the labour market </w:t>
            </w:r>
          </w:p>
        </w:tc>
        <w:tc>
          <w:tcPr>
            <w:tcW w:w="833" w:type="pct"/>
            <w:tcBorders>
              <w:top w:val="single" w:sz="6" w:space="0" w:color="auto"/>
              <w:left w:val="single" w:sz="6" w:space="0" w:color="auto"/>
              <w:bottom w:val="single" w:sz="6" w:space="0" w:color="auto"/>
              <w:right w:val="single" w:sz="6" w:space="0" w:color="auto"/>
            </w:tcBorders>
          </w:tcPr>
          <w:p w14:paraId="77E4C44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Appeal to the International Protection Appeals Tribunal under Regulation 21 of the European Communities (Reception Conditions) Regulations 2018, and where there is an oral hearing.</w:t>
            </w:r>
          </w:p>
        </w:tc>
        <w:tc>
          <w:tcPr>
            <w:tcW w:w="833" w:type="pct"/>
            <w:tcBorders>
              <w:top w:val="single" w:sz="6" w:space="0" w:color="auto"/>
              <w:left w:val="single" w:sz="6" w:space="0" w:color="auto"/>
              <w:bottom w:val="single" w:sz="6" w:space="0" w:color="auto"/>
              <w:right w:val="single" w:sz="6" w:space="0" w:color="auto"/>
            </w:tcBorders>
          </w:tcPr>
          <w:p w14:paraId="1E4BD51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Tribunal takes a decision in relation to the appeal.</w:t>
            </w:r>
          </w:p>
        </w:tc>
        <w:tc>
          <w:tcPr>
            <w:tcW w:w="833" w:type="pct"/>
            <w:tcBorders>
              <w:top w:val="single" w:sz="6" w:space="0" w:color="auto"/>
              <w:left w:val="single" w:sz="6" w:space="0" w:color="auto"/>
              <w:bottom w:val="single" w:sz="6" w:space="0" w:color="auto"/>
              <w:right w:val="single" w:sz="6" w:space="0" w:color="auto"/>
            </w:tcBorders>
          </w:tcPr>
          <w:p w14:paraId="5E3B2E8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€400 </w:t>
            </w:r>
          </w:p>
        </w:tc>
        <w:tc>
          <w:tcPr>
            <w:tcW w:w="833" w:type="pct"/>
            <w:tcBorders>
              <w:top w:val="single" w:sz="6" w:space="0" w:color="auto"/>
              <w:left w:val="single" w:sz="6" w:space="0" w:color="auto"/>
              <w:bottom w:val="single" w:sz="6" w:space="0" w:color="auto"/>
              <w:right w:val="single" w:sz="6" w:space="0" w:color="auto"/>
            </w:tcBorders>
          </w:tcPr>
          <w:p w14:paraId="1F74899F"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€200 </w:t>
            </w:r>
          </w:p>
        </w:tc>
        <w:tc>
          <w:tcPr>
            <w:tcW w:w="833" w:type="pct"/>
            <w:tcBorders>
              <w:top w:val="single" w:sz="6" w:space="0" w:color="auto"/>
              <w:left w:val="single" w:sz="6" w:space="0" w:color="auto"/>
              <w:bottom w:val="single" w:sz="6" w:space="0" w:color="auto"/>
              <w:right w:val="single" w:sz="6" w:space="0" w:color="auto"/>
            </w:tcBorders>
          </w:tcPr>
          <w:p w14:paraId="54D0626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14FCE2F3" w14:textId="77777777">
        <w:tc>
          <w:tcPr>
            <w:tcW w:w="833" w:type="pct"/>
            <w:tcBorders>
              <w:top w:val="single" w:sz="6" w:space="0" w:color="auto"/>
              <w:left w:val="single" w:sz="6" w:space="0" w:color="auto"/>
              <w:bottom w:val="single" w:sz="6" w:space="0" w:color="auto"/>
              <w:right w:val="single" w:sz="6" w:space="0" w:color="auto"/>
            </w:tcBorders>
          </w:tcPr>
          <w:p w14:paraId="4996E16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3C521CD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Where there is no oral hearing, a reduced fee shall be payable. </w:t>
            </w:r>
          </w:p>
        </w:tc>
        <w:tc>
          <w:tcPr>
            <w:tcW w:w="833" w:type="pct"/>
            <w:tcBorders>
              <w:top w:val="single" w:sz="6" w:space="0" w:color="auto"/>
              <w:left w:val="single" w:sz="6" w:space="0" w:color="auto"/>
              <w:bottom w:val="single" w:sz="6" w:space="0" w:color="auto"/>
              <w:right w:val="single" w:sz="6" w:space="0" w:color="auto"/>
            </w:tcBorders>
          </w:tcPr>
          <w:p w14:paraId="35281CB9"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5EE2B1C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€150 </w:t>
            </w:r>
          </w:p>
        </w:tc>
        <w:tc>
          <w:tcPr>
            <w:tcW w:w="833" w:type="pct"/>
            <w:tcBorders>
              <w:top w:val="single" w:sz="6" w:space="0" w:color="auto"/>
              <w:left w:val="single" w:sz="6" w:space="0" w:color="auto"/>
              <w:bottom w:val="single" w:sz="6" w:space="0" w:color="auto"/>
              <w:right w:val="single" w:sz="6" w:space="0" w:color="auto"/>
            </w:tcBorders>
          </w:tcPr>
          <w:p w14:paraId="39CB37EC"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€75 </w:t>
            </w:r>
          </w:p>
        </w:tc>
        <w:tc>
          <w:tcPr>
            <w:tcW w:w="833" w:type="pct"/>
            <w:tcBorders>
              <w:top w:val="single" w:sz="6" w:space="0" w:color="auto"/>
              <w:left w:val="single" w:sz="6" w:space="0" w:color="auto"/>
              <w:bottom w:val="single" w:sz="6" w:space="0" w:color="auto"/>
              <w:right w:val="single" w:sz="6" w:space="0" w:color="auto"/>
            </w:tcBorders>
          </w:tcPr>
          <w:p w14:paraId="442D32A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€50 </w:t>
            </w:r>
          </w:p>
        </w:tc>
      </w:tr>
    </w:tbl>
    <w:p w14:paraId="449B332F" w14:textId="0E43BAF7" w:rsidR="009D4A34" w:rsidRDefault="009D4A34" w:rsidP="009D4A34">
      <w:pPr>
        <w:autoSpaceDE w:val="0"/>
        <w:autoSpaceDN w:val="0"/>
        <w:adjustRightInd w:val="0"/>
        <w:spacing w:before="240" w:after="0" w:line="240" w:lineRule="auto"/>
        <w:rPr>
          <w:rFonts w:ascii="Tms Rmn" w:hAnsi="Tms Rmn" w:cs="Tms Rmn"/>
          <w:color w:val="000000"/>
          <w:kern w:val="0"/>
          <w:sz w:val="24"/>
          <w:szCs w:val="24"/>
        </w:rPr>
      </w:pPr>
    </w:p>
    <w:tbl>
      <w:tblPr>
        <w:tblW w:w="5000" w:type="pct"/>
        <w:tblLayout w:type="fixed"/>
        <w:tblCellMar>
          <w:left w:w="0" w:type="dxa"/>
          <w:right w:w="0" w:type="dxa"/>
        </w:tblCellMar>
        <w:tblLook w:val="00BF" w:firstRow="1" w:lastRow="0" w:firstColumn="1" w:lastColumn="0" w:noHBand="0" w:noVBand="0"/>
      </w:tblPr>
      <w:tblGrid>
        <w:gridCol w:w="2322"/>
        <w:gridCol w:w="2323"/>
        <w:gridCol w:w="2323"/>
        <w:gridCol w:w="2323"/>
        <w:gridCol w:w="2323"/>
        <w:gridCol w:w="2328"/>
      </w:tblGrid>
      <w:tr w:rsidR="009D4A34" w14:paraId="47A6FACD" w14:textId="77777777" w:rsidTr="009D4A34">
        <w:tc>
          <w:tcPr>
            <w:tcW w:w="5000" w:type="pct"/>
            <w:gridSpan w:val="6"/>
            <w:tcBorders>
              <w:top w:val="single" w:sz="6" w:space="0" w:color="auto"/>
              <w:left w:val="single" w:sz="6" w:space="0" w:color="auto"/>
              <w:bottom w:val="single" w:sz="6" w:space="0" w:color="auto"/>
              <w:right w:val="single" w:sz="6" w:space="0" w:color="auto"/>
            </w:tcBorders>
          </w:tcPr>
          <w:p w14:paraId="6B9B80BE" w14:textId="42122572" w:rsidR="009D4A34" w:rsidRPr="009D4A34" w:rsidRDefault="009D4A34">
            <w:pPr>
              <w:keepNext/>
              <w:keepLines/>
              <w:autoSpaceDE w:val="0"/>
              <w:autoSpaceDN w:val="0"/>
              <w:adjustRightInd w:val="0"/>
              <w:spacing w:after="0" w:line="240" w:lineRule="auto"/>
              <w:ind w:left="15"/>
              <w:rPr>
                <w:rFonts w:ascii="Tms Rmn" w:hAnsi="Tms Rmn" w:cs="Tms Rmn"/>
                <w:b/>
                <w:bCs/>
                <w:color w:val="000000"/>
                <w:kern w:val="0"/>
                <w:sz w:val="24"/>
                <w:szCs w:val="24"/>
              </w:rPr>
            </w:pPr>
            <w:r w:rsidRPr="009D4A34">
              <w:rPr>
                <w:rFonts w:ascii="Tms Rmn" w:hAnsi="Tms Rmn" w:cs="Tms Rmn"/>
                <w:b/>
                <w:bCs/>
                <w:color w:val="000000"/>
                <w:kern w:val="0"/>
                <w:sz w:val="24"/>
                <w:szCs w:val="24"/>
              </w:rPr>
              <w:lastRenderedPageBreak/>
              <w:t>Table 5: Schedule of fees payable to Counsel under the Barristers Sub Panel for International Protection matters.</w:t>
            </w:r>
          </w:p>
        </w:tc>
      </w:tr>
      <w:tr w:rsidR="009D4A34" w14:paraId="6C6092AD" w14:textId="77777777">
        <w:tc>
          <w:tcPr>
            <w:tcW w:w="833" w:type="pct"/>
            <w:tcBorders>
              <w:top w:val="single" w:sz="6" w:space="0" w:color="auto"/>
              <w:left w:val="single" w:sz="6" w:space="0" w:color="auto"/>
              <w:bottom w:val="single" w:sz="6" w:space="0" w:color="auto"/>
              <w:right w:val="single" w:sz="6" w:space="0" w:color="auto"/>
            </w:tcBorders>
          </w:tcPr>
          <w:p w14:paraId="13C62BAE" w14:textId="7144FB8E"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Case Stage </w:t>
            </w:r>
          </w:p>
        </w:tc>
        <w:tc>
          <w:tcPr>
            <w:tcW w:w="833" w:type="pct"/>
            <w:tcBorders>
              <w:top w:val="single" w:sz="6" w:space="0" w:color="auto"/>
              <w:left w:val="single" w:sz="6" w:space="0" w:color="auto"/>
              <w:bottom w:val="single" w:sz="6" w:space="0" w:color="auto"/>
              <w:right w:val="single" w:sz="6" w:space="0" w:color="auto"/>
            </w:tcBorders>
          </w:tcPr>
          <w:p w14:paraId="34867460" w14:textId="7E736C38"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This fee covers </w:t>
            </w:r>
          </w:p>
        </w:tc>
        <w:tc>
          <w:tcPr>
            <w:tcW w:w="833" w:type="pct"/>
            <w:tcBorders>
              <w:top w:val="single" w:sz="6" w:space="0" w:color="auto"/>
              <w:left w:val="single" w:sz="6" w:space="0" w:color="auto"/>
              <w:bottom w:val="single" w:sz="6" w:space="0" w:color="auto"/>
              <w:right w:val="single" w:sz="6" w:space="0" w:color="auto"/>
            </w:tcBorders>
          </w:tcPr>
          <w:p w14:paraId="252B4943" w14:textId="2D0BA771"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Fee can be claimed with </w:t>
            </w:r>
          </w:p>
        </w:tc>
        <w:tc>
          <w:tcPr>
            <w:tcW w:w="833" w:type="pct"/>
            <w:tcBorders>
              <w:top w:val="single" w:sz="6" w:space="0" w:color="auto"/>
              <w:left w:val="single" w:sz="6" w:space="0" w:color="auto"/>
              <w:bottom w:val="single" w:sz="6" w:space="0" w:color="auto"/>
              <w:right w:val="single" w:sz="6" w:space="0" w:color="auto"/>
            </w:tcBorders>
          </w:tcPr>
          <w:p w14:paraId="08A666A3" w14:textId="332360B6"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Applicant fee </w:t>
            </w:r>
          </w:p>
        </w:tc>
        <w:tc>
          <w:tcPr>
            <w:tcW w:w="833" w:type="pct"/>
            <w:tcBorders>
              <w:top w:val="single" w:sz="6" w:space="0" w:color="auto"/>
              <w:left w:val="single" w:sz="6" w:space="0" w:color="auto"/>
              <w:bottom w:val="single" w:sz="6" w:space="0" w:color="auto"/>
              <w:right w:val="single" w:sz="6" w:space="0" w:color="auto"/>
            </w:tcBorders>
          </w:tcPr>
          <w:p w14:paraId="72BC1FC7" w14:textId="6F41E49B"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 xml:space="preserve">Spouse fee </w:t>
            </w:r>
          </w:p>
        </w:tc>
        <w:tc>
          <w:tcPr>
            <w:tcW w:w="833" w:type="pct"/>
            <w:tcBorders>
              <w:top w:val="single" w:sz="6" w:space="0" w:color="auto"/>
              <w:left w:val="single" w:sz="6" w:space="0" w:color="auto"/>
              <w:bottom w:val="single" w:sz="6" w:space="0" w:color="auto"/>
              <w:right w:val="single" w:sz="6" w:space="0" w:color="auto"/>
            </w:tcBorders>
          </w:tcPr>
          <w:p w14:paraId="361C07B6" w14:textId="4DEBFAE1" w:rsidR="009D4A34" w:rsidRDefault="009D4A34" w:rsidP="009D4A34">
            <w:pPr>
              <w:keepNext/>
              <w:keepLines/>
              <w:autoSpaceDE w:val="0"/>
              <w:autoSpaceDN w:val="0"/>
              <w:adjustRightInd w:val="0"/>
              <w:spacing w:after="0" w:line="240" w:lineRule="auto"/>
              <w:ind w:left="15"/>
              <w:rPr>
                <w:rFonts w:ascii="Tms Rmn" w:hAnsi="Tms Rmn" w:cs="Tms Rmn"/>
                <w:b/>
                <w:bCs/>
                <w:color w:val="000000"/>
                <w:kern w:val="0"/>
                <w:sz w:val="24"/>
                <w:szCs w:val="24"/>
              </w:rPr>
            </w:pPr>
            <w:r>
              <w:rPr>
                <w:rFonts w:ascii="Tms Rmn" w:hAnsi="Tms Rmn" w:cs="Tms Rmn"/>
                <w:b/>
                <w:bCs/>
                <w:color w:val="000000"/>
                <w:kern w:val="0"/>
                <w:sz w:val="24"/>
                <w:szCs w:val="24"/>
              </w:rPr>
              <w:t>Child fee</w:t>
            </w:r>
            <w:r>
              <w:rPr>
                <w:rFonts w:ascii="Tms Rmn" w:hAnsi="Tms Rmn" w:cs="Tms Rmn"/>
                <w:color w:val="000000"/>
                <w:kern w:val="0"/>
                <w:sz w:val="24"/>
                <w:szCs w:val="24"/>
              </w:rPr>
              <w:t xml:space="preserve"> </w:t>
            </w:r>
          </w:p>
        </w:tc>
      </w:tr>
      <w:tr w:rsidR="009D4A34" w14:paraId="6162B37D" w14:textId="77777777">
        <w:tc>
          <w:tcPr>
            <w:tcW w:w="833" w:type="pct"/>
            <w:tcBorders>
              <w:top w:val="single" w:sz="6" w:space="0" w:color="auto"/>
              <w:left w:val="single" w:sz="6" w:space="0" w:color="auto"/>
              <w:bottom w:val="single" w:sz="6" w:space="0" w:color="auto"/>
              <w:right w:val="single" w:sz="6" w:space="0" w:color="auto"/>
            </w:tcBorders>
          </w:tcPr>
          <w:p w14:paraId="6BF0550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Application for International Protection Questionnaire </w:t>
            </w:r>
          </w:p>
        </w:tc>
        <w:tc>
          <w:tcPr>
            <w:tcW w:w="833" w:type="pct"/>
            <w:tcBorders>
              <w:top w:val="single" w:sz="6" w:space="0" w:color="auto"/>
              <w:left w:val="single" w:sz="6" w:space="0" w:color="auto"/>
              <w:bottom w:val="single" w:sz="6" w:space="0" w:color="auto"/>
              <w:right w:val="single" w:sz="6" w:space="0" w:color="auto"/>
            </w:tcBorders>
          </w:tcPr>
          <w:p w14:paraId="7DFABD1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Assistance with the making an application for international protection and permission to remain in the State, including advice in relation to the provision of material reception conditions and access to the labour market.</w:t>
            </w:r>
          </w:p>
        </w:tc>
        <w:tc>
          <w:tcPr>
            <w:tcW w:w="833" w:type="pct"/>
            <w:tcBorders>
              <w:top w:val="single" w:sz="6" w:space="0" w:color="auto"/>
              <w:left w:val="single" w:sz="6" w:space="0" w:color="auto"/>
              <w:bottom w:val="single" w:sz="6" w:space="0" w:color="auto"/>
              <w:right w:val="single" w:sz="6" w:space="0" w:color="auto"/>
            </w:tcBorders>
          </w:tcPr>
          <w:p w14:paraId="1735FE2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applicant’s Application for International Protection Questionnaire has been submitted to the International Protection Office</w:t>
            </w:r>
            <w:r>
              <w:rPr>
                <w:rFonts w:ascii="Tms Rmn" w:hAnsi="Tms Rmn" w:cs="Tms Rmn"/>
                <w:color w:val="000000"/>
                <w:kern w:val="0"/>
                <w:sz w:val="24"/>
                <w:szCs w:val="24"/>
              </w:rPr>
              <w:br/>
              <w:t xml:space="preserve"> </w:t>
            </w:r>
            <w:r>
              <w:rPr>
                <w:rFonts w:ascii="Tms Rmn" w:hAnsi="Tms Rmn" w:cs="Tms Rmn"/>
                <w:color w:val="000000"/>
                <w:kern w:val="0"/>
                <w:sz w:val="24"/>
                <w:szCs w:val="24"/>
              </w:rPr>
              <w:br/>
              <w:t xml:space="preserve">This fee shall also be claimable when the barrister is briefed after the questionnaire has been submitted, </w:t>
            </w:r>
            <w:proofErr w:type="gramStart"/>
            <w:r>
              <w:rPr>
                <w:rFonts w:ascii="Tms Rmn" w:hAnsi="Tms Rmn" w:cs="Tms Rmn"/>
                <w:color w:val="000000"/>
                <w:kern w:val="0"/>
                <w:sz w:val="24"/>
                <w:szCs w:val="24"/>
              </w:rPr>
              <w:t>but,</w:t>
            </w:r>
            <w:proofErr w:type="gramEnd"/>
            <w:r>
              <w:rPr>
                <w:rFonts w:ascii="Tms Rmn" w:hAnsi="Tms Rmn" w:cs="Tms Rmn"/>
                <w:color w:val="000000"/>
                <w:kern w:val="0"/>
                <w:sz w:val="24"/>
                <w:szCs w:val="24"/>
              </w:rPr>
              <w:t xml:space="preserve"> following a consultation with the applicant the barrister forms the view that it is necessary to submit an amendment to the questionnaire to the IPO and does so. </w:t>
            </w:r>
          </w:p>
        </w:tc>
        <w:tc>
          <w:tcPr>
            <w:tcW w:w="833" w:type="pct"/>
            <w:tcBorders>
              <w:top w:val="single" w:sz="6" w:space="0" w:color="auto"/>
              <w:left w:val="single" w:sz="6" w:space="0" w:color="auto"/>
              <w:bottom w:val="single" w:sz="6" w:space="0" w:color="auto"/>
              <w:right w:val="single" w:sz="6" w:space="0" w:color="auto"/>
            </w:tcBorders>
          </w:tcPr>
          <w:p w14:paraId="0D63879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3E567863"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€150 </w:t>
            </w:r>
          </w:p>
        </w:tc>
        <w:tc>
          <w:tcPr>
            <w:tcW w:w="833" w:type="pct"/>
            <w:tcBorders>
              <w:top w:val="single" w:sz="6" w:space="0" w:color="auto"/>
              <w:left w:val="single" w:sz="6" w:space="0" w:color="auto"/>
              <w:bottom w:val="single" w:sz="6" w:space="0" w:color="auto"/>
              <w:right w:val="single" w:sz="6" w:space="0" w:color="auto"/>
            </w:tcBorders>
          </w:tcPr>
          <w:p w14:paraId="16554C7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€85 </w:t>
            </w:r>
          </w:p>
        </w:tc>
      </w:tr>
      <w:tr w:rsidR="009D4A34" w14:paraId="3D606472" w14:textId="77777777">
        <w:tc>
          <w:tcPr>
            <w:tcW w:w="833" w:type="pct"/>
            <w:tcBorders>
              <w:top w:val="single" w:sz="6" w:space="0" w:color="auto"/>
              <w:left w:val="single" w:sz="6" w:space="0" w:color="auto"/>
              <w:bottom w:val="single" w:sz="6" w:space="0" w:color="auto"/>
              <w:right w:val="single" w:sz="6" w:space="0" w:color="auto"/>
            </w:tcBorders>
          </w:tcPr>
          <w:p w14:paraId="228CA8D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Personal Interview </w:t>
            </w:r>
          </w:p>
        </w:tc>
        <w:tc>
          <w:tcPr>
            <w:tcW w:w="833" w:type="pct"/>
            <w:tcBorders>
              <w:top w:val="single" w:sz="6" w:space="0" w:color="auto"/>
              <w:left w:val="single" w:sz="6" w:space="0" w:color="auto"/>
              <w:bottom w:val="single" w:sz="6" w:space="0" w:color="auto"/>
              <w:right w:val="single" w:sz="6" w:space="0" w:color="auto"/>
            </w:tcBorders>
          </w:tcPr>
          <w:p w14:paraId="0935FF33"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fee covers the provision of legal advice in relation to a personal interview with an international protection officer including the making of submissions in relation to international protection and permission to remain and the obtaining of </w:t>
            </w:r>
            <w:proofErr w:type="gramStart"/>
            <w:r>
              <w:rPr>
                <w:rFonts w:ascii="Tms Rmn" w:hAnsi="Tms Rmn" w:cs="Tms Rmn"/>
                <w:color w:val="000000"/>
                <w:kern w:val="0"/>
                <w:sz w:val="24"/>
                <w:szCs w:val="24"/>
              </w:rPr>
              <w:t>country of origin</w:t>
            </w:r>
            <w:proofErr w:type="gramEnd"/>
            <w:r>
              <w:rPr>
                <w:rFonts w:ascii="Tms Rmn" w:hAnsi="Tms Rmn" w:cs="Tms Rmn"/>
                <w:color w:val="000000"/>
                <w:kern w:val="0"/>
                <w:sz w:val="24"/>
                <w:szCs w:val="24"/>
              </w:rPr>
              <w:t xml:space="preserve"> information.</w:t>
            </w:r>
          </w:p>
        </w:tc>
        <w:tc>
          <w:tcPr>
            <w:tcW w:w="833" w:type="pct"/>
            <w:tcBorders>
              <w:top w:val="single" w:sz="6" w:space="0" w:color="auto"/>
              <w:left w:val="single" w:sz="6" w:space="0" w:color="auto"/>
              <w:bottom w:val="single" w:sz="6" w:space="0" w:color="auto"/>
              <w:right w:val="single" w:sz="6" w:space="0" w:color="auto"/>
            </w:tcBorders>
          </w:tcPr>
          <w:p w14:paraId="778BF8C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An international protection officer makes a recommendation to the Minister in relation to an applicant’s application for international protection.</w:t>
            </w:r>
          </w:p>
        </w:tc>
        <w:tc>
          <w:tcPr>
            <w:tcW w:w="833" w:type="pct"/>
            <w:tcBorders>
              <w:top w:val="single" w:sz="6" w:space="0" w:color="auto"/>
              <w:left w:val="single" w:sz="6" w:space="0" w:color="auto"/>
              <w:bottom w:val="single" w:sz="6" w:space="0" w:color="auto"/>
              <w:right w:val="single" w:sz="6" w:space="0" w:color="auto"/>
            </w:tcBorders>
          </w:tcPr>
          <w:p w14:paraId="4FD2EAE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€300 </w:t>
            </w:r>
          </w:p>
        </w:tc>
        <w:tc>
          <w:tcPr>
            <w:tcW w:w="833" w:type="pct"/>
            <w:tcBorders>
              <w:top w:val="single" w:sz="6" w:space="0" w:color="auto"/>
              <w:left w:val="single" w:sz="6" w:space="0" w:color="auto"/>
              <w:bottom w:val="single" w:sz="6" w:space="0" w:color="auto"/>
              <w:right w:val="single" w:sz="6" w:space="0" w:color="auto"/>
            </w:tcBorders>
          </w:tcPr>
          <w:p w14:paraId="698AF4F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€150 </w:t>
            </w:r>
          </w:p>
        </w:tc>
        <w:tc>
          <w:tcPr>
            <w:tcW w:w="833" w:type="pct"/>
            <w:tcBorders>
              <w:top w:val="single" w:sz="6" w:space="0" w:color="auto"/>
              <w:left w:val="single" w:sz="6" w:space="0" w:color="auto"/>
              <w:bottom w:val="single" w:sz="6" w:space="0" w:color="auto"/>
              <w:right w:val="single" w:sz="6" w:space="0" w:color="auto"/>
            </w:tcBorders>
          </w:tcPr>
          <w:p w14:paraId="12E3848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€85 </w:t>
            </w:r>
          </w:p>
        </w:tc>
      </w:tr>
      <w:tr w:rsidR="009D4A34" w14:paraId="756215F9" w14:textId="77777777">
        <w:tc>
          <w:tcPr>
            <w:tcW w:w="833" w:type="pct"/>
            <w:tcBorders>
              <w:top w:val="single" w:sz="6" w:space="0" w:color="auto"/>
              <w:left w:val="single" w:sz="6" w:space="0" w:color="auto"/>
              <w:bottom w:val="single" w:sz="6" w:space="0" w:color="auto"/>
              <w:right w:val="single" w:sz="6" w:space="0" w:color="auto"/>
            </w:tcBorders>
          </w:tcPr>
          <w:p w14:paraId="35FA39BD"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Appeal to the International Protection Appeals Tribunal </w:t>
            </w:r>
          </w:p>
        </w:tc>
        <w:tc>
          <w:tcPr>
            <w:tcW w:w="833" w:type="pct"/>
            <w:tcBorders>
              <w:top w:val="single" w:sz="6" w:space="0" w:color="auto"/>
              <w:left w:val="single" w:sz="6" w:space="0" w:color="auto"/>
              <w:bottom w:val="single" w:sz="6" w:space="0" w:color="auto"/>
              <w:right w:val="single" w:sz="6" w:space="0" w:color="auto"/>
            </w:tcBorders>
          </w:tcPr>
          <w:p w14:paraId="5B85D6B5"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This fee covers the drafting of a notice of appeal, legal submissions, and advocacy before the Tribunal. </w:t>
            </w:r>
          </w:p>
        </w:tc>
        <w:tc>
          <w:tcPr>
            <w:tcW w:w="833" w:type="pct"/>
            <w:tcBorders>
              <w:top w:val="single" w:sz="6" w:space="0" w:color="auto"/>
              <w:left w:val="single" w:sz="6" w:space="0" w:color="auto"/>
              <w:bottom w:val="single" w:sz="6" w:space="0" w:color="auto"/>
              <w:right w:val="single" w:sz="6" w:space="0" w:color="auto"/>
            </w:tcBorders>
          </w:tcPr>
          <w:p w14:paraId="388ACFCC"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Tribunal decides to uphold or overturn the recommendation of the international protection officer.</w:t>
            </w:r>
          </w:p>
        </w:tc>
        <w:tc>
          <w:tcPr>
            <w:tcW w:w="833" w:type="pct"/>
            <w:tcBorders>
              <w:top w:val="single" w:sz="6" w:space="0" w:color="auto"/>
              <w:left w:val="single" w:sz="6" w:space="0" w:color="auto"/>
              <w:bottom w:val="single" w:sz="6" w:space="0" w:color="auto"/>
              <w:right w:val="single" w:sz="6" w:space="0" w:color="auto"/>
            </w:tcBorders>
          </w:tcPr>
          <w:p w14:paraId="40528A1E"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€400 </w:t>
            </w:r>
          </w:p>
        </w:tc>
        <w:tc>
          <w:tcPr>
            <w:tcW w:w="833" w:type="pct"/>
            <w:tcBorders>
              <w:top w:val="single" w:sz="6" w:space="0" w:color="auto"/>
              <w:left w:val="single" w:sz="6" w:space="0" w:color="auto"/>
              <w:bottom w:val="single" w:sz="6" w:space="0" w:color="auto"/>
              <w:right w:val="single" w:sz="6" w:space="0" w:color="auto"/>
            </w:tcBorders>
          </w:tcPr>
          <w:p w14:paraId="398985E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€200 </w:t>
            </w:r>
          </w:p>
        </w:tc>
        <w:tc>
          <w:tcPr>
            <w:tcW w:w="833" w:type="pct"/>
            <w:tcBorders>
              <w:top w:val="single" w:sz="6" w:space="0" w:color="auto"/>
              <w:left w:val="single" w:sz="6" w:space="0" w:color="auto"/>
              <w:bottom w:val="single" w:sz="6" w:space="0" w:color="auto"/>
              <w:right w:val="single" w:sz="6" w:space="0" w:color="auto"/>
            </w:tcBorders>
          </w:tcPr>
          <w:p w14:paraId="6BE2C30F"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6F36ED18" w14:textId="77777777">
        <w:tc>
          <w:tcPr>
            <w:tcW w:w="833" w:type="pct"/>
            <w:tcBorders>
              <w:top w:val="single" w:sz="6" w:space="0" w:color="auto"/>
              <w:left w:val="single" w:sz="6" w:space="0" w:color="auto"/>
              <w:bottom w:val="single" w:sz="6" w:space="0" w:color="auto"/>
              <w:right w:val="single" w:sz="6" w:space="0" w:color="auto"/>
            </w:tcBorders>
          </w:tcPr>
          <w:p w14:paraId="4EF1F7A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33B6A7CC"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 </w:t>
            </w:r>
          </w:p>
        </w:tc>
        <w:tc>
          <w:tcPr>
            <w:tcW w:w="833" w:type="pct"/>
            <w:tcBorders>
              <w:top w:val="single" w:sz="6" w:space="0" w:color="auto"/>
              <w:left w:val="single" w:sz="6" w:space="0" w:color="auto"/>
              <w:bottom w:val="single" w:sz="6" w:space="0" w:color="auto"/>
              <w:right w:val="single" w:sz="6" w:space="0" w:color="auto"/>
            </w:tcBorders>
          </w:tcPr>
          <w:p w14:paraId="015006B1"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Where the accelerated appeal procedure under section 43 IPA applies and there is no oral hearing, a reduced fee shall be payable. </w:t>
            </w:r>
          </w:p>
        </w:tc>
        <w:tc>
          <w:tcPr>
            <w:tcW w:w="833" w:type="pct"/>
            <w:tcBorders>
              <w:top w:val="single" w:sz="6" w:space="0" w:color="auto"/>
              <w:left w:val="single" w:sz="6" w:space="0" w:color="auto"/>
              <w:bottom w:val="single" w:sz="6" w:space="0" w:color="auto"/>
              <w:right w:val="single" w:sz="6" w:space="0" w:color="auto"/>
            </w:tcBorders>
          </w:tcPr>
          <w:p w14:paraId="761D7603"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63453664"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3" w:type="pct"/>
            <w:tcBorders>
              <w:top w:val="single" w:sz="6" w:space="0" w:color="auto"/>
              <w:left w:val="single" w:sz="6" w:space="0" w:color="auto"/>
              <w:bottom w:val="single" w:sz="6" w:space="0" w:color="auto"/>
              <w:right w:val="single" w:sz="6" w:space="0" w:color="auto"/>
            </w:tcBorders>
          </w:tcPr>
          <w:p w14:paraId="714495E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0E07B94A" w14:textId="77777777">
        <w:tc>
          <w:tcPr>
            <w:tcW w:w="833" w:type="pct"/>
            <w:tcBorders>
              <w:top w:val="single" w:sz="6" w:space="0" w:color="auto"/>
              <w:left w:val="single" w:sz="6" w:space="0" w:color="auto"/>
              <w:bottom w:val="single" w:sz="6" w:space="0" w:color="auto"/>
              <w:right w:val="single" w:sz="6" w:space="0" w:color="auto"/>
            </w:tcBorders>
          </w:tcPr>
          <w:p w14:paraId="2932A470"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lastRenderedPageBreak/>
              <w:t xml:space="preserve">Review of Permission to Remain (s49) </w:t>
            </w:r>
          </w:p>
        </w:tc>
        <w:tc>
          <w:tcPr>
            <w:tcW w:w="833" w:type="pct"/>
            <w:tcBorders>
              <w:top w:val="single" w:sz="6" w:space="0" w:color="auto"/>
              <w:left w:val="single" w:sz="6" w:space="0" w:color="auto"/>
              <w:bottom w:val="single" w:sz="6" w:space="0" w:color="auto"/>
              <w:right w:val="single" w:sz="6" w:space="0" w:color="auto"/>
            </w:tcBorders>
          </w:tcPr>
          <w:p w14:paraId="16DB13C3"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Provision of legal advice and the making of submissions in relation to a review by the Minister for Justice and Equality in relation to a decision on permission to remain pursuant to section 49 of the International Protection Act 2015. </w:t>
            </w:r>
          </w:p>
        </w:tc>
        <w:tc>
          <w:tcPr>
            <w:tcW w:w="833" w:type="pct"/>
            <w:tcBorders>
              <w:top w:val="single" w:sz="6" w:space="0" w:color="auto"/>
              <w:left w:val="single" w:sz="6" w:space="0" w:color="auto"/>
              <w:bottom w:val="single" w:sz="6" w:space="0" w:color="auto"/>
              <w:right w:val="single" w:sz="6" w:space="0" w:color="auto"/>
            </w:tcBorders>
          </w:tcPr>
          <w:p w14:paraId="6D91E6B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The applicant is granted permission to remain in the State or a deportation order is made. </w:t>
            </w:r>
          </w:p>
        </w:tc>
        <w:tc>
          <w:tcPr>
            <w:tcW w:w="833" w:type="pct"/>
            <w:tcBorders>
              <w:top w:val="single" w:sz="6" w:space="0" w:color="auto"/>
              <w:left w:val="single" w:sz="6" w:space="0" w:color="auto"/>
              <w:bottom w:val="single" w:sz="6" w:space="0" w:color="auto"/>
              <w:right w:val="single" w:sz="6" w:space="0" w:color="auto"/>
            </w:tcBorders>
          </w:tcPr>
          <w:p w14:paraId="114D1A9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€100 </w:t>
            </w:r>
          </w:p>
        </w:tc>
        <w:tc>
          <w:tcPr>
            <w:tcW w:w="833" w:type="pct"/>
            <w:tcBorders>
              <w:top w:val="single" w:sz="6" w:space="0" w:color="auto"/>
              <w:left w:val="single" w:sz="6" w:space="0" w:color="auto"/>
              <w:bottom w:val="single" w:sz="6" w:space="0" w:color="auto"/>
              <w:right w:val="single" w:sz="6" w:space="0" w:color="auto"/>
            </w:tcBorders>
          </w:tcPr>
          <w:p w14:paraId="5602663A"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€100 </w:t>
            </w:r>
          </w:p>
        </w:tc>
        <w:tc>
          <w:tcPr>
            <w:tcW w:w="833" w:type="pct"/>
            <w:tcBorders>
              <w:top w:val="single" w:sz="6" w:space="0" w:color="auto"/>
              <w:left w:val="single" w:sz="6" w:space="0" w:color="auto"/>
              <w:bottom w:val="single" w:sz="6" w:space="0" w:color="auto"/>
              <w:right w:val="single" w:sz="6" w:space="0" w:color="auto"/>
            </w:tcBorders>
          </w:tcPr>
          <w:p w14:paraId="3518A89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r w:rsidR="009D4A34" w14:paraId="576022C8" w14:textId="77777777">
        <w:tc>
          <w:tcPr>
            <w:tcW w:w="833" w:type="pct"/>
            <w:tcBorders>
              <w:top w:val="single" w:sz="6" w:space="0" w:color="auto"/>
              <w:left w:val="single" w:sz="6" w:space="0" w:color="auto"/>
              <w:bottom w:val="single" w:sz="6" w:space="0" w:color="auto"/>
              <w:right w:val="single" w:sz="6" w:space="0" w:color="auto"/>
            </w:tcBorders>
          </w:tcPr>
          <w:p w14:paraId="595C13F6"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Revocation or Amendment of Deportation Order </w:t>
            </w:r>
          </w:p>
        </w:tc>
        <w:tc>
          <w:tcPr>
            <w:tcW w:w="833" w:type="pct"/>
            <w:tcBorders>
              <w:top w:val="single" w:sz="6" w:space="0" w:color="auto"/>
              <w:left w:val="single" w:sz="6" w:space="0" w:color="auto"/>
              <w:bottom w:val="single" w:sz="6" w:space="0" w:color="auto"/>
              <w:right w:val="single" w:sz="6" w:space="0" w:color="auto"/>
            </w:tcBorders>
          </w:tcPr>
          <w:p w14:paraId="3C76BA8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Provision of legal advice in relation to a deportation order made by the Minister for Justice and Equality, pursuant to section 3 of the Immigration Act 1999, to include any representations to the Minister in relation to the possible amendment or revocation of the deportation order.</w:t>
            </w:r>
          </w:p>
        </w:tc>
        <w:tc>
          <w:tcPr>
            <w:tcW w:w="833" w:type="pct"/>
            <w:tcBorders>
              <w:top w:val="single" w:sz="6" w:space="0" w:color="auto"/>
              <w:left w:val="single" w:sz="6" w:space="0" w:color="auto"/>
              <w:bottom w:val="single" w:sz="6" w:space="0" w:color="auto"/>
              <w:right w:val="single" w:sz="6" w:space="0" w:color="auto"/>
            </w:tcBorders>
          </w:tcPr>
          <w:p w14:paraId="31DEB80B"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The Minister decides or refuses (as the case may be) to review or amend the deportation order.</w:t>
            </w:r>
          </w:p>
        </w:tc>
        <w:tc>
          <w:tcPr>
            <w:tcW w:w="833" w:type="pct"/>
            <w:tcBorders>
              <w:top w:val="single" w:sz="6" w:space="0" w:color="auto"/>
              <w:left w:val="single" w:sz="6" w:space="0" w:color="auto"/>
              <w:bottom w:val="single" w:sz="6" w:space="0" w:color="auto"/>
              <w:right w:val="single" w:sz="6" w:space="0" w:color="auto"/>
            </w:tcBorders>
          </w:tcPr>
          <w:p w14:paraId="48474028"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€250 </w:t>
            </w:r>
          </w:p>
        </w:tc>
        <w:tc>
          <w:tcPr>
            <w:tcW w:w="833" w:type="pct"/>
            <w:tcBorders>
              <w:top w:val="single" w:sz="6" w:space="0" w:color="auto"/>
              <w:left w:val="single" w:sz="6" w:space="0" w:color="auto"/>
              <w:bottom w:val="single" w:sz="6" w:space="0" w:color="auto"/>
              <w:right w:val="single" w:sz="6" w:space="0" w:color="auto"/>
            </w:tcBorders>
          </w:tcPr>
          <w:p w14:paraId="70752747"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€175 </w:t>
            </w:r>
          </w:p>
        </w:tc>
        <w:tc>
          <w:tcPr>
            <w:tcW w:w="833" w:type="pct"/>
            <w:tcBorders>
              <w:top w:val="single" w:sz="6" w:space="0" w:color="auto"/>
              <w:left w:val="single" w:sz="6" w:space="0" w:color="auto"/>
              <w:bottom w:val="single" w:sz="6" w:space="0" w:color="auto"/>
              <w:right w:val="single" w:sz="6" w:space="0" w:color="auto"/>
            </w:tcBorders>
          </w:tcPr>
          <w:p w14:paraId="5970CC72" w14:textId="77777777" w:rsidR="009D4A34" w:rsidRDefault="009D4A34" w:rsidP="009D4A34">
            <w:pPr>
              <w:keepNext/>
              <w:keepLines/>
              <w:autoSpaceDE w:val="0"/>
              <w:autoSpaceDN w:val="0"/>
              <w:adjustRightInd w:val="0"/>
              <w:spacing w:after="0" w:line="240" w:lineRule="auto"/>
              <w:ind w:left="15"/>
              <w:rPr>
                <w:rFonts w:ascii="Tms Rmn" w:hAnsi="Tms Rmn" w:cs="Tms Rmn"/>
                <w:color w:val="000000"/>
                <w:kern w:val="0"/>
                <w:sz w:val="24"/>
                <w:szCs w:val="24"/>
              </w:rPr>
            </w:pPr>
            <w:r>
              <w:rPr>
                <w:rFonts w:ascii="Tms Rmn" w:hAnsi="Tms Rmn" w:cs="Tms Rmn"/>
                <w:color w:val="000000"/>
                <w:kern w:val="0"/>
                <w:sz w:val="24"/>
                <w:szCs w:val="24"/>
              </w:rPr>
              <w:t xml:space="preserve">€80 </w:t>
            </w:r>
          </w:p>
        </w:tc>
      </w:tr>
    </w:tbl>
    <w:p w14:paraId="1DE69ECE" w14:textId="77777777" w:rsidR="00BB4C2B" w:rsidRDefault="00BB4C2B"/>
    <w:sectPr w:rsidR="00BB4C2B" w:rsidSect="009D4A3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64"/>
    <w:rsid w:val="00661064"/>
    <w:rsid w:val="007458A4"/>
    <w:rsid w:val="009D4A34"/>
    <w:rsid w:val="00BB4C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E0278"/>
  <w15:chartTrackingRefBased/>
  <w15:docId w15:val="{CDACCF8B-11AA-476E-8FD5-A87D7ED00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1360</Words>
  <Characters>7756</Characters>
  <Application>Microsoft Office Word</Application>
  <DocSecurity>0</DocSecurity>
  <Lines>64</Lines>
  <Paragraphs>18</Paragraphs>
  <ScaleCrop>false</ScaleCrop>
  <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Martin-Ruiz</dc:creator>
  <cp:keywords/>
  <dc:description/>
  <cp:lastModifiedBy>Sara Martin-Ruiz</cp:lastModifiedBy>
  <cp:revision>2</cp:revision>
  <dcterms:created xsi:type="dcterms:W3CDTF">2025-09-16T11:40:00Z</dcterms:created>
  <dcterms:modified xsi:type="dcterms:W3CDTF">2025-09-16T11:45:00Z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2025-09-16T11:45:00Z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f79b0f90-503c-41b9-920e-0ac2d37abfca</vt:lpwstr>
  </property>
  <property fmtid="{D5CDD505-2E9C-101B-9397-08002B2CF9AE}" pid="8" name="MSIP_Label_a276e348-bda2-42ff-85d7-569ad34f2b3a_ContentBits">
    <vt:lpwstr>0</vt:lpwstr>
  </property>
</Properties>
</file>