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790F7" w14:textId="27562739" w:rsidR="00445786" w:rsidRDefault="00686A12">
      <w:pPr>
        <w:rPr>
          <w:rFonts w:cstheme="minorHAnsi"/>
          <w:color w:val="222222"/>
          <w:shd w:val="clear" w:color="auto" w:fill="FFFFFF"/>
        </w:rPr>
      </w:pPr>
      <w:r w:rsidRPr="00686A12">
        <w:rPr>
          <w:rFonts w:cstheme="minorHAnsi"/>
          <w:color w:val="222222"/>
          <w:shd w:val="clear" w:color="auto" w:fill="FFFFFF"/>
        </w:rPr>
        <w:t>To ask the Minister for the Environment; Climate and Communications to provide a list of all EU directives which are awaiting transposition in his Department; the date on which transposition is due; and the reasons for any delay in transposition, in tabular form.</w:t>
      </w:r>
    </w:p>
    <w:p w14:paraId="4F716030" w14:textId="77777777" w:rsidR="005B6A2D" w:rsidRPr="00686A12" w:rsidRDefault="005B6A2D" w:rsidP="005B6A2D">
      <w:pPr>
        <w:rPr>
          <w:rFonts w:cstheme="minorHAnsi"/>
        </w:rPr>
      </w:pPr>
      <w:r w:rsidRPr="00686A12">
        <w:rPr>
          <w:rFonts w:cstheme="minorHAnsi"/>
          <w:color w:val="222222"/>
          <w:shd w:val="clear" w:color="auto" w:fill="FFFFFF"/>
        </w:rPr>
        <w:t>- Holly Cairns</w:t>
      </w:r>
    </w:p>
    <w:p w14:paraId="1BF3DA42" w14:textId="286D5565" w:rsidR="00445786" w:rsidRDefault="00686A12">
      <w:pPr>
        <w:rPr>
          <w:rFonts w:cstheme="minorHAnsi"/>
          <w:color w:val="222222"/>
          <w:shd w:val="clear" w:color="auto" w:fill="FFFFFF"/>
        </w:rPr>
      </w:pPr>
      <w:r w:rsidRPr="00686A12">
        <w:rPr>
          <w:rFonts w:cstheme="minorHAnsi"/>
          <w:color w:val="222222"/>
          <w:shd w:val="clear" w:color="auto" w:fill="FFFFFF"/>
        </w:rPr>
        <w:t>For</w:t>
      </w:r>
      <w:r w:rsidR="005B6A2D">
        <w:rPr>
          <w:rFonts w:cstheme="minorHAnsi"/>
          <w:color w:val="222222"/>
          <w:shd w:val="clear" w:color="auto" w:fill="FFFFFF"/>
        </w:rPr>
        <w:t xml:space="preserve"> Written</w:t>
      </w:r>
      <w:r w:rsidRPr="00686A12">
        <w:rPr>
          <w:rFonts w:cstheme="minorHAnsi"/>
          <w:color w:val="222222"/>
          <w:shd w:val="clear" w:color="auto" w:fill="FFFFFF"/>
        </w:rPr>
        <w:t xml:space="preserve"> answer 29/04/2025</w:t>
      </w:r>
    </w:p>
    <w:p w14:paraId="1B50C4C6" w14:textId="47BC0CC4" w:rsidR="002104C4" w:rsidRPr="00686A12" w:rsidRDefault="002104C4">
      <w:pPr>
        <w:rPr>
          <w:rFonts w:cstheme="minorHAnsi"/>
        </w:rPr>
      </w:pPr>
      <w:r>
        <w:rPr>
          <w:rFonts w:cstheme="minorHAnsi"/>
        </w:rPr>
        <w:t>Ref No:</w:t>
      </w:r>
      <w:r w:rsidRPr="002104C4">
        <w:rPr>
          <w:rFonts w:cstheme="minorHAnsi"/>
          <w:color w:val="222222"/>
          <w:shd w:val="clear" w:color="auto" w:fill="FFFFFF"/>
        </w:rPr>
        <w:t xml:space="preserve"> </w:t>
      </w:r>
      <w:r w:rsidRPr="00686A12">
        <w:rPr>
          <w:rFonts w:cstheme="minorHAnsi"/>
          <w:color w:val="222222"/>
          <w:shd w:val="clear" w:color="auto" w:fill="FFFFFF"/>
        </w:rPr>
        <w:t>20326/25  </w:t>
      </w:r>
    </w:p>
    <w:tbl>
      <w:tblPr>
        <w:tblStyle w:val="TableGrid"/>
        <w:tblW w:w="14940" w:type="dxa"/>
        <w:tblInd w:w="-572" w:type="dxa"/>
        <w:tblLook w:val="04A0" w:firstRow="1" w:lastRow="0" w:firstColumn="1" w:lastColumn="0" w:noHBand="0" w:noVBand="1"/>
      </w:tblPr>
      <w:tblGrid>
        <w:gridCol w:w="7614"/>
        <w:gridCol w:w="1557"/>
        <w:gridCol w:w="5769"/>
      </w:tblGrid>
      <w:tr w:rsidR="00445786" w:rsidRPr="00686FEF" w14:paraId="119FE709" w14:textId="77777777" w:rsidTr="000A6EC7">
        <w:trPr>
          <w:trHeight w:val="606"/>
        </w:trPr>
        <w:tc>
          <w:tcPr>
            <w:tcW w:w="7614" w:type="dxa"/>
            <w:shd w:val="clear" w:color="auto" w:fill="F2F2F2" w:themeFill="background1" w:themeFillShade="F2"/>
            <w:noWrap/>
            <w:vAlign w:val="center"/>
            <w:hideMark/>
          </w:tcPr>
          <w:p w14:paraId="67F19D87" w14:textId="321433AA" w:rsidR="00445786" w:rsidRPr="00686FEF" w:rsidRDefault="00445786" w:rsidP="00C15B4A">
            <w:pPr>
              <w:rPr>
                <w:b/>
                <w:bCs/>
              </w:rPr>
            </w:pPr>
            <w:r w:rsidRPr="00686FEF">
              <w:rPr>
                <w:b/>
                <w:bCs/>
              </w:rPr>
              <w:t>Title</w:t>
            </w:r>
            <w:r>
              <w:rPr>
                <w:b/>
                <w:bCs/>
              </w:rPr>
              <w:t xml:space="preserve"> of Directive</w:t>
            </w:r>
          </w:p>
        </w:tc>
        <w:tc>
          <w:tcPr>
            <w:tcW w:w="1557" w:type="dxa"/>
            <w:shd w:val="clear" w:color="auto" w:fill="F2F2F2" w:themeFill="background1" w:themeFillShade="F2"/>
            <w:noWrap/>
            <w:vAlign w:val="center"/>
            <w:hideMark/>
          </w:tcPr>
          <w:p w14:paraId="2C7C3FED" w14:textId="551FD108" w:rsidR="00445786" w:rsidRDefault="00445786" w:rsidP="00C15B4A">
            <w:pPr>
              <w:rPr>
                <w:b/>
                <w:bCs/>
              </w:rPr>
            </w:pPr>
            <w:r>
              <w:rPr>
                <w:b/>
                <w:bCs/>
              </w:rPr>
              <w:t xml:space="preserve">Transposition </w:t>
            </w:r>
          </w:p>
          <w:p w14:paraId="3B352094" w14:textId="4E36EF04" w:rsidR="00445786" w:rsidRPr="00686FEF" w:rsidRDefault="00445786" w:rsidP="00C15B4A">
            <w:pPr>
              <w:rPr>
                <w:b/>
                <w:bCs/>
              </w:rPr>
            </w:pPr>
            <w:r w:rsidRPr="00686FEF">
              <w:rPr>
                <w:b/>
                <w:bCs/>
              </w:rPr>
              <w:t>Deadline</w:t>
            </w:r>
          </w:p>
        </w:tc>
        <w:tc>
          <w:tcPr>
            <w:tcW w:w="5769" w:type="dxa"/>
            <w:shd w:val="clear" w:color="auto" w:fill="F2F2F2" w:themeFill="background1" w:themeFillShade="F2"/>
            <w:vAlign w:val="center"/>
            <w:hideMark/>
          </w:tcPr>
          <w:p w14:paraId="2195F9E1" w14:textId="0E366DE0" w:rsidR="00445786" w:rsidRPr="00686FEF" w:rsidRDefault="002104C4" w:rsidP="00C15B4A">
            <w:pPr>
              <w:rPr>
                <w:b/>
                <w:bCs/>
              </w:rPr>
            </w:pPr>
            <w:r>
              <w:rPr>
                <w:b/>
                <w:bCs/>
              </w:rPr>
              <w:t>Current status of Transpos</w:t>
            </w:r>
            <w:r w:rsidR="00EC4A60">
              <w:rPr>
                <w:b/>
                <w:bCs/>
              </w:rPr>
              <w:t>ition</w:t>
            </w:r>
          </w:p>
        </w:tc>
      </w:tr>
      <w:tr w:rsidR="00445786" w:rsidRPr="00686FEF" w14:paraId="3B53E2CB" w14:textId="77777777" w:rsidTr="000A6EC7">
        <w:trPr>
          <w:trHeight w:val="2697"/>
        </w:trPr>
        <w:tc>
          <w:tcPr>
            <w:tcW w:w="7614" w:type="dxa"/>
            <w:vAlign w:val="center"/>
            <w:hideMark/>
          </w:tcPr>
          <w:p w14:paraId="3E6F03E2" w14:textId="3B479FF7" w:rsidR="00445786" w:rsidRPr="00FD17F5" w:rsidRDefault="00FD17F5" w:rsidP="007D368A">
            <w:r w:rsidRPr="007D368A">
              <w:rPr>
                <w:b/>
                <w:bCs/>
              </w:rPr>
              <w:t>Directive (EU) 2018/2001</w:t>
            </w:r>
            <w:r w:rsidRPr="00FD17F5">
              <w:t xml:space="preserve"> of the European Parliament and of the Council of 11 December 2018 on the promotion of the use of energy from renewable sources (recast)</w:t>
            </w:r>
            <w:r w:rsidR="007D368A">
              <w:t xml:space="preserve"> </w:t>
            </w:r>
            <w:r w:rsidR="007D368A" w:rsidRPr="007D368A">
              <w:rPr>
                <w:b/>
                <w:bCs/>
              </w:rPr>
              <w:t>RED II Directive</w:t>
            </w:r>
          </w:p>
        </w:tc>
        <w:tc>
          <w:tcPr>
            <w:tcW w:w="1557" w:type="dxa"/>
            <w:vAlign w:val="center"/>
            <w:hideMark/>
          </w:tcPr>
          <w:p w14:paraId="43F4D71C" w14:textId="77777777" w:rsidR="00445786" w:rsidRPr="00686FEF" w:rsidRDefault="00445786" w:rsidP="007D368A">
            <w:r w:rsidRPr="00686FEF">
              <w:t>29-06-2021</w:t>
            </w:r>
          </w:p>
        </w:tc>
        <w:tc>
          <w:tcPr>
            <w:tcW w:w="5769" w:type="dxa"/>
            <w:vAlign w:val="center"/>
            <w:hideMark/>
          </w:tcPr>
          <w:p w14:paraId="5B8FEBBF" w14:textId="3D71C3AC" w:rsidR="00445786" w:rsidRPr="00686FEF" w:rsidRDefault="00445786" w:rsidP="007D368A">
            <w:r w:rsidRPr="00686FEF">
              <w:t> </w:t>
            </w:r>
            <w:r w:rsidR="00A8120D" w:rsidRPr="00A8120D">
              <w:t xml:space="preserve">The Directive is substantively </w:t>
            </w:r>
            <w:r w:rsidR="00756B00" w:rsidRPr="00A8120D">
              <w:t>transposed;</w:t>
            </w:r>
            <w:r w:rsidR="00A8120D" w:rsidRPr="00A8120D">
              <w:t xml:space="preserve"> however</w:t>
            </w:r>
            <w:r w:rsidR="00756B00">
              <w:t>,</w:t>
            </w:r>
            <w:r w:rsidR="00A8120D" w:rsidRPr="00A8120D">
              <w:t xml:space="preserve"> the brea</w:t>
            </w:r>
            <w:r w:rsidR="00C90CB0">
              <w:t>d</w:t>
            </w:r>
            <w:r w:rsidR="00A8120D" w:rsidRPr="00A8120D">
              <w:t>th and technical complexity of the Directive delayed its timely transposition, which is a shared challenge across all Member States. In addition to this, gaps were identified in the Additional Reasoned Opinion received November 2024. Legislation is currently being drafted to address these outstanding elements, with one SI (SI 97 of 2025) completed at the end of March 2025.</w:t>
            </w:r>
          </w:p>
        </w:tc>
      </w:tr>
      <w:tr w:rsidR="00445786" w:rsidRPr="00686FEF" w14:paraId="562D0E78" w14:textId="77777777" w:rsidTr="000A6EC7">
        <w:trPr>
          <w:trHeight w:val="3199"/>
        </w:trPr>
        <w:tc>
          <w:tcPr>
            <w:tcW w:w="7614" w:type="dxa"/>
            <w:vAlign w:val="center"/>
            <w:hideMark/>
          </w:tcPr>
          <w:p w14:paraId="1C304882" w14:textId="791BB49A" w:rsidR="00445786" w:rsidRPr="00686FEF" w:rsidRDefault="00445786" w:rsidP="007D368A">
            <w:r w:rsidRPr="007D368A">
              <w:rPr>
                <w:b/>
                <w:bCs/>
              </w:rPr>
              <w:t>Directive (EU) 2022/2555</w:t>
            </w:r>
            <w:r w:rsidRPr="00686FEF">
              <w:t xml:space="preserve"> of the European Parliament and of the Council of 14 December 2022 on measures for a high common level of cybersecurity across the Union, amending Regulation (EU) No 910/2014 and Directive (EU) 2018/1972, and repealing Directive (EU) 2016/1148 (Text with EEA relevance)</w:t>
            </w:r>
            <w:r w:rsidR="007D368A" w:rsidRPr="00C15B4A">
              <w:rPr>
                <w:b/>
                <w:bCs/>
              </w:rPr>
              <w:t xml:space="preserve"> NIS 2 Directive</w:t>
            </w:r>
          </w:p>
        </w:tc>
        <w:tc>
          <w:tcPr>
            <w:tcW w:w="1557" w:type="dxa"/>
            <w:vAlign w:val="center"/>
            <w:hideMark/>
          </w:tcPr>
          <w:p w14:paraId="035A7700" w14:textId="77777777" w:rsidR="00445786" w:rsidRPr="00686FEF" w:rsidRDefault="00445786" w:rsidP="007D368A">
            <w:r w:rsidRPr="00686FEF">
              <w:t>17-10-2024</w:t>
            </w:r>
          </w:p>
        </w:tc>
        <w:tc>
          <w:tcPr>
            <w:tcW w:w="5769" w:type="dxa"/>
            <w:vAlign w:val="center"/>
            <w:hideMark/>
          </w:tcPr>
          <w:p w14:paraId="6F421BAF" w14:textId="105EC90E" w:rsidR="00445786" w:rsidRPr="00686FEF" w:rsidRDefault="00C15B4A" w:rsidP="007D368A">
            <w:r w:rsidRPr="00C15B4A">
              <w:t>Significant work has been completed and is ongoing regarding the transposition and implementation of the NIS2 Directive into Irish law. NIS2 is a complex piece of legislation requiring a complete overhaul of existing cyber security legislation and a primary legislative vehicle to transpose it fully. NIS2 is a revision of the NIS Directive, which is currently in force in the State via S.I. 360 of 2018. This S.I. will remain in force, covering the most critical operators in the State, until NIS2 is transposed.</w:t>
            </w:r>
          </w:p>
        </w:tc>
      </w:tr>
      <w:tr w:rsidR="00694E38" w:rsidRPr="00686FEF" w14:paraId="5ADFB53E" w14:textId="77777777" w:rsidTr="000A6EC7">
        <w:trPr>
          <w:trHeight w:val="841"/>
        </w:trPr>
        <w:tc>
          <w:tcPr>
            <w:tcW w:w="7614" w:type="dxa"/>
            <w:vMerge w:val="restart"/>
            <w:vAlign w:val="center"/>
            <w:hideMark/>
          </w:tcPr>
          <w:p w14:paraId="19910237" w14:textId="704C429D" w:rsidR="00694E38" w:rsidRPr="00686FEF" w:rsidRDefault="00694E38" w:rsidP="007D368A">
            <w:r w:rsidRPr="007D368A">
              <w:rPr>
                <w:b/>
                <w:bCs/>
              </w:rPr>
              <w:lastRenderedPageBreak/>
              <w:t>Directive (EU) 2023/1791</w:t>
            </w:r>
            <w:r w:rsidRPr="00686FEF">
              <w:t xml:space="preserve"> of the European Parliament and of the Council of 13 September 2023 on energy efficiency and amending Regulation (EU) 2023/955 (recast) (Text with EEA relevance)</w:t>
            </w:r>
            <w:r w:rsidRPr="00686FEF">
              <w:br/>
            </w:r>
          </w:p>
        </w:tc>
        <w:tc>
          <w:tcPr>
            <w:tcW w:w="1557" w:type="dxa"/>
            <w:vAlign w:val="center"/>
            <w:hideMark/>
          </w:tcPr>
          <w:p w14:paraId="6B0EABAE" w14:textId="77777777" w:rsidR="00694E38" w:rsidRPr="00686FEF" w:rsidRDefault="00694E38" w:rsidP="007D368A">
            <w:r w:rsidRPr="00686FEF">
              <w:t>15-09-2024</w:t>
            </w:r>
          </w:p>
        </w:tc>
        <w:tc>
          <w:tcPr>
            <w:tcW w:w="5769" w:type="dxa"/>
            <w:vAlign w:val="center"/>
            <w:hideMark/>
          </w:tcPr>
          <w:p w14:paraId="63DDB3BE" w14:textId="77777777" w:rsidR="00694E38" w:rsidRDefault="00694E38" w:rsidP="007D368A">
            <w:r w:rsidRPr="00686FEF">
              <w:t>(</w:t>
            </w:r>
            <w:r w:rsidRPr="00686FEF">
              <w:rPr>
                <w:b/>
                <w:bCs/>
              </w:rPr>
              <w:t>Article 12 Delegated Act on Data Centres</w:t>
            </w:r>
            <w:r w:rsidRPr="00686FEF">
              <w:t>)</w:t>
            </w:r>
          </w:p>
          <w:p w14:paraId="11934C38" w14:textId="1A12F214" w:rsidR="00694E38" w:rsidRPr="00686FEF" w:rsidRDefault="00694E38" w:rsidP="007D368A">
            <w:r w:rsidRPr="00C15B4A">
              <w:t>My Department is progressing the transposition and alignment of the Directive. Currently, my Department is preparing the necessary transposing legislation which it expects to have in place in Quarter 2 of 2025.</w:t>
            </w:r>
          </w:p>
        </w:tc>
      </w:tr>
      <w:tr w:rsidR="00694E38" w:rsidRPr="00686FEF" w14:paraId="73F1912B" w14:textId="77777777" w:rsidTr="000A6EC7">
        <w:trPr>
          <w:trHeight w:val="697"/>
        </w:trPr>
        <w:tc>
          <w:tcPr>
            <w:tcW w:w="7614" w:type="dxa"/>
            <w:vMerge/>
            <w:vAlign w:val="center"/>
          </w:tcPr>
          <w:p w14:paraId="5338EE81" w14:textId="09C9EC99" w:rsidR="00694E38" w:rsidRPr="00686FEF" w:rsidRDefault="00694E38" w:rsidP="00C15B4A"/>
        </w:tc>
        <w:tc>
          <w:tcPr>
            <w:tcW w:w="1557" w:type="dxa"/>
            <w:vAlign w:val="center"/>
            <w:hideMark/>
          </w:tcPr>
          <w:p w14:paraId="4A22A2AE" w14:textId="77777777" w:rsidR="00694E38" w:rsidRPr="00686FEF" w:rsidRDefault="00694E38" w:rsidP="00C15B4A">
            <w:r w:rsidRPr="00686FEF">
              <w:t>11-10-2025</w:t>
            </w:r>
          </w:p>
        </w:tc>
        <w:tc>
          <w:tcPr>
            <w:tcW w:w="5769" w:type="dxa"/>
            <w:vAlign w:val="center"/>
            <w:hideMark/>
          </w:tcPr>
          <w:p w14:paraId="346A7AB0" w14:textId="5BE2663E" w:rsidR="00694E38" w:rsidRPr="00686FEF" w:rsidRDefault="00694E38" w:rsidP="00C15B4A">
            <w:r>
              <w:t>Currently being transposed</w:t>
            </w:r>
          </w:p>
        </w:tc>
      </w:tr>
      <w:tr w:rsidR="00694E38" w:rsidRPr="00686FEF" w14:paraId="56983602" w14:textId="77777777" w:rsidTr="000A6EC7">
        <w:trPr>
          <w:trHeight w:val="1920"/>
        </w:trPr>
        <w:tc>
          <w:tcPr>
            <w:tcW w:w="7614" w:type="dxa"/>
            <w:vMerge w:val="restart"/>
            <w:vAlign w:val="center"/>
            <w:hideMark/>
          </w:tcPr>
          <w:p w14:paraId="155B19A8" w14:textId="5FE31F17" w:rsidR="00694E38" w:rsidRPr="00686FEF" w:rsidRDefault="00694E38" w:rsidP="00C15B4A">
            <w:r w:rsidRPr="007D368A">
              <w:rPr>
                <w:b/>
                <w:bCs/>
              </w:rPr>
              <w:t>Directive (EU) 2023/2413</w:t>
            </w:r>
            <w:r w:rsidRPr="00686FEF">
              <w:t xml:space="preserve"> of the European Parliament and of the Council of 18 October 2023 amending Directive (EU) 2018/2001, Regulation (EU) 2018/1999 and Directive 98/70/EC as regards the promotion of energy from renewable sources, and repealing Council Directive (EU) 2015/652</w:t>
            </w:r>
            <w:r>
              <w:t xml:space="preserve"> </w:t>
            </w:r>
            <w:r w:rsidRPr="007D368A">
              <w:rPr>
                <w:b/>
                <w:bCs/>
              </w:rPr>
              <w:t>RED III Directive</w:t>
            </w:r>
            <w:r>
              <w:rPr>
                <w:b/>
                <w:bCs/>
              </w:rPr>
              <w:t>)</w:t>
            </w:r>
          </w:p>
        </w:tc>
        <w:tc>
          <w:tcPr>
            <w:tcW w:w="1557" w:type="dxa"/>
            <w:vAlign w:val="center"/>
            <w:hideMark/>
          </w:tcPr>
          <w:p w14:paraId="62F3FF65" w14:textId="77777777" w:rsidR="00694E38" w:rsidRPr="00686FEF" w:rsidRDefault="00694E38" w:rsidP="00C15B4A">
            <w:r w:rsidRPr="00686FEF">
              <w:t>01-07-2024</w:t>
            </w:r>
          </w:p>
        </w:tc>
        <w:tc>
          <w:tcPr>
            <w:tcW w:w="5769" w:type="dxa"/>
            <w:vAlign w:val="center"/>
            <w:hideMark/>
          </w:tcPr>
          <w:p w14:paraId="1D76188A" w14:textId="591C057D" w:rsidR="00694E38" w:rsidRPr="00686FEF" w:rsidRDefault="00A8120D" w:rsidP="00C15B4A">
            <w:r w:rsidRPr="00A8120D">
              <w:t>Permitting requirements of RED III  have proven to be very complex for Ireland and for most other Member States to transpose. In Ireland, transposition requires coordinated action across a range of departments and permitting authorities. Work is currently underway to address requirements as soon as possible.</w:t>
            </w:r>
          </w:p>
        </w:tc>
      </w:tr>
      <w:tr w:rsidR="00694E38" w:rsidRPr="00686FEF" w14:paraId="6868DC7A" w14:textId="77777777" w:rsidTr="000A6EC7">
        <w:trPr>
          <w:trHeight w:val="696"/>
        </w:trPr>
        <w:tc>
          <w:tcPr>
            <w:tcW w:w="7614" w:type="dxa"/>
            <w:vMerge/>
            <w:vAlign w:val="center"/>
            <w:hideMark/>
          </w:tcPr>
          <w:p w14:paraId="285CCD55" w14:textId="652C8A4B" w:rsidR="00694E38" w:rsidRPr="00686FEF" w:rsidRDefault="00694E38" w:rsidP="00C15B4A"/>
        </w:tc>
        <w:tc>
          <w:tcPr>
            <w:tcW w:w="1557" w:type="dxa"/>
            <w:vAlign w:val="center"/>
            <w:hideMark/>
          </w:tcPr>
          <w:p w14:paraId="0B3E1138" w14:textId="77777777" w:rsidR="00694E38" w:rsidRPr="00686FEF" w:rsidRDefault="00694E38" w:rsidP="00C15B4A">
            <w:pPr>
              <w:spacing w:line="278" w:lineRule="auto"/>
            </w:pPr>
            <w:r w:rsidRPr="00686FEF">
              <w:t>21-05-2025</w:t>
            </w:r>
          </w:p>
        </w:tc>
        <w:tc>
          <w:tcPr>
            <w:tcW w:w="5769" w:type="dxa"/>
            <w:vAlign w:val="center"/>
            <w:hideMark/>
          </w:tcPr>
          <w:p w14:paraId="5DE2FF4C" w14:textId="032A823E" w:rsidR="00694E38" w:rsidRPr="00686FEF" w:rsidRDefault="00694E38" w:rsidP="00C15B4A">
            <w:r>
              <w:t>Currently being transposed</w:t>
            </w:r>
          </w:p>
        </w:tc>
      </w:tr>
      <w:tr w:rsidR="00445786" w:rsidRPr="00686FEF" w14:paraId="620F46EA" w14:textId="77777777" w:rsidTr="000A6EC7">
        <w:trPr>
          <w:trHeight w:val="1304"/>
        </w:trPr>
        <w:tc>
          <w:tcPr>
            <w:tcW w:w="7614" w:type="dxa"/>
            <w:vAlign w:val="center"/>
            <w:hideMark/>
          </w:tcPr>
          <w:p w14:paraId="19DF144E" w14:textId="6E61AA0F" w:rsidR="00445786" w:rsidRPr="00686FEF" w:rsidRDefault="00445786" w:rsidP="00C15B4A">
            <w:r w:rsidRPr="007D368A">
              <w:rPr>
                <w:b/>
                <w:bCs/>
              </w:rPr>
              <w:t>Directive (EU) 2024/884</w:t>
            </w:r>
            <w:r w:rsidRPr="00686FEF">
              <w:t xml:space="preserve"> of the European Parliament and of the Council of 13 March 2024 amending Directive 2012/19/EU on waste electrical and electronic equipment</w:t>
            </w:r>
            <w:r w:rsidR="007D368A">
              <w:t>.</w:t>
            </w:r>
            <w:r w:rsidRPr="00686FEF">
              <w:t xml:space="preserve"> (</w:t>
            </w:r>
            <w:r w:rsidRPr="00686FEF">
              <w:rPr>
                <w:b/>
                <w:bCs/>
              </w:rPr>
              <w:t>WEEE</w:t>
            </w:r>
            <w:r w:rsidR="00C15B4A">
              <w:rPr>
                <w:b/>
                <w:bCs/>
              </w:rPr>
              <w:t xml:space="preserve"> Directive</w:t>
            </w:r>
            <w:r w:rsidRPr="00686FEF">
              <w:t>)</w:t>
            </w:r>
          </w:p>
        </w:tc>
        <w:tc>
          <w:tcPr>
            <w:tcW w:w="1557" w:type="dxa"/>
            <w:vAlign w:val="center"/>
            <w:hideMark/>
          </w:tcPr>
          <w:p w14:paraId="1E1AC1F7" w14:textId="77777777" w:rsidR="00445786" w:rsidRPr="00686FEF" w:rsidRDefault="00445786" w:rsidP="00C15B4A">
            <w:r w:rsidRPr="00686FEF">
              <w:t>09-10-2025</w:t>
            </w:r>
          </w:p>
        </w:tc>
        <w:tc>
          <w:tcPr>
            <w:tcW w:w="5769" w:type="dxa"/>
            <w:vAlign w:val="center"/>
            <w:hideMark/>
          </w:tcPr>
          <w:p w14:paraId="58E19B4A" w14:textId="4AE010D2" w:rsidR="00445786" w:rsidRPr="00686FEF" w:rsidRDefault="005E644D" w:rsidP="00C15B4A">
            <w:r>
              <w:t>Currently being transposed</w:t>
            </w:r>
          </w:p>
        </w:tc>
      </w:tr>
    </w:tbl>
    <w:p w14:paraId="6D7258F7" w14:textId="77777777" w:rsidR="000A6EC7" w:rsidRDefault="000A6EC7">
      <w:r>
        <w:br w:type="page"/>
      </w:r>
    </w:p>
    <w:tbl>
      <w:tblPr>
        <w:tblStyle w:val="TableGrid"/>
        <w:tblW w:w="14940" w:type="dxa"/>
        <w:tblInd w:w="-572" w:type="dxa"/>
        <w:tblLook w:val="04A0" w:firstRow="1" w:lastRow="0" w:firstColumn="1" w:lastColumn="0" w:noHBand="0" w:noVBand="1"/>
      </w:tblPr>
      <w:tblGrid>
        <w:gridCol w:w="7614"/>
        <w:gridCol w:w="1557"/>
        <w:gridCol w:w="5769"/>
      </w:tblGrid>
      <w:tr w:rsidR="00694E38" w:rsidRPr="00686FEF" w14:paraId="0C855FB9" w14:textId="77777777" w:rsidTr="000A6EC7">
        <w:trPr>
          <w:trHeight w:val="1550"/>
        </w:trPr>
        <w:tc>
          <w:tcPr>
            <w:tcW w:w="7614" w:type="dxa"/>
            <w:vMerge w:val="restart"/>
            <w:vAlign w:val="center"/>
            <w:hideMark/>
          </w:tcPr>
          <w:p w14:paraId="5F39C929" w14:textId="101E1759" w:rsidR="00694E38" w:rsidRPr="00686FEF" w:rsidRDefault="00694E38" w:rsidP="00C15B4A">
            <w:r w:rsidRPr="007D368A">
              <w:rPr>
                <w:b/>
                <w:bCs/>
              </w:rPr>
              <w:lastRenderedPageBreak/>
              <w:t>Directive (EU) 2024/1711</w:t>
            </w:r>
            <w:r w:rsidRPr="00686FEF">
              <w:t xml:space="preserve"> of the European Parliament and of the Council of 13 June 2024 amending Directives (EU) 2018/2001 and (EU) 2019/944 as regards improving the Union’s electricity market design Text with EEA relevance.</w:t>
            </w:r>
          </w:p>
        </w:tc>
        <w:tc>
          <w:tcPr>
            <w:tcW w:w="1557" w:type="dxa"/>
            <w:vAlign w:val="center"/>
            <w:hideMark/>
          </w:tcPr>
          <w:p w14:paraId="46E70801" w14:textId="77777777" w:rsidR="00694E38" w:rsidRPr="00686FEF" w:rsidRDefault="00694E38" w:rsidP="00C15B4A">
            <w:r w:rsidRPr="00686FEF">
              <w:t>17-01-2025</w:t>
            </w:r>
          </w:p>
        </w:tc>
        <w:tc>
          <w:tcPr>
            <w:tcW w:w="5769" w:type="dxa"/>
            <w:vAlign w:val="center"/>
            <w:hideMark/>
          </w:tcPr>
          <w:p w14:paraId="64BEF337" w14:textId="027BCC9F" w:rsidR="00694E38" w:rsidRPr="00686FEF" w:rsidRDefault="00694E38" w:rsidP="00C15B4A">
            <w:bookmarkStart w:id="0" w:name="_Hlk196474894"/>
            <w:r w:rsidRPr="00D12C33">
              <w:t xml:space="preserve">Following a consultation and stakeholder engagement workshop, my Department expects to shortly begin working with </w:t>
            </w:r>
            <w:r>
              <w:t xml:space="preserve">the </w:t>
            </w:r>
            <w:r w:rsidRPr="00D12C33">
              <w:t>Office of Parliamentary Counsel to fulfil Ireland's transposition requirements.</w:t>
            </w:r>
            <w:bookmarkEnd w:id="0"/>
          </w:p>
        </w:tc>
      </w:tr>
      <w:tr w:rsidR="00694E38" w:rsidRPr="00686FEF" w14:paraId="1F80B53B" w14:textId="77777777" w:rsidTr="000A6EC7">
        <w:trPr>
          <w:trHeight w:val="880"/>
        </w:trPr>
        <w:tc>
          <w:tcPr>
            <w:tcW w:w="7614" w:type="dxa"/>
            <w:vMerge/>
            <w:vAlign w:val="center"/>
            <w:hideMark/>
          </w:tcPr>
          <w:p w14:paraId="73B5EE68" w14:textId="0BF6FCC5" w:rsidR="00694E38" w:rsidRPr="00686FEF" w:rsidRDefault="00694E38" w:rsidP="00C15B4A"/>
        </w:tc>
        <w:tc>
          <w:tcPr>
            <w:tcW w:w="1557" w:type="dxa"/>
            <w:vAlign w:val="center"/>
            <w:hideMark/>
          </w:tcPr>
          <w:p w14:paraId="25880072" w14:textId="60877A79" w:rsidR="00694E38" w:rsidRPr="00686FEF" w:rsidRDefault="00694E38" w:rsidP="00C15B4A">
            <w:pPr>
              <w:spacing w:line="278" w:lineRule="auto"/>
            </w:pPr>
            <w:r w:rsidRPr="00686FEF">
              <w:t>17</w:t>
            </w:r>
            <w:r>
              <w:t>-</w:t>
            </w:r>
            <w:r w:rsidRPr="00686FEF">
              <w:t>07</w:t>
            </w:r>
            <w:r>
              <w:t>-</w:t>
            </w:r>
            <w:r w:rsidRPr="00686FEF">
              <w:t xml:space="preserve">2026 </w:t>
            </w:r>
          </w:p>
        </w:tc>
        <w:tc>
          <w:tcPr>
            <w:tcW w:w="5769" w:type="dxa"/>
            <w:vAlign w:val="center"/>
            <w:hideMark/>
          </w:tcPr>
          <w:p w14:paraId="4D45FA85" w14:textId="77777777" w:rsidR="00694E38" w:rsidRPr="00694E38" w:rsidRDefault="00694E38" w:rsidP="00C15B4A">
            <w:r w:rsidRPr="00694E38">
              <w:rPr>
                <w:sz w:val="32"/>
                <w:szCs w:val="32"/>
              </w:rPr>
              <w:t>(</w:t>
            </w:r>
            <w:r w:rsidRPr="00694E38">
              <w:rPr>
                <w:b/>
                <w:bCs/>
              </w:rPr>
              <w:t>Art 2, points (2) and (5)</w:t>
            </w:r>
            <w:r w:rsidRPr="00694E38">
              <w:t>)</w:t>
            </w:r>
          </w:p>
          <w:p w14:paraId="25433CD0" w14:textId="65B78A6A" w:rsidR="00694E38" w:rsidRPr="00686FEF" w:rsidRDefault="00694E38" w:rsidP="00C15B4A">
            <w:r>
              <w:t>Currently being transposed</w:t>
            </w:r>
          </w:p>
        </w:tc>
      </w:tr>
      <w:tr w:rsidR="00445786" w:rsidRPr="00686FEF" w14:paraId="239FE883" w14:textId="77777777" w:rsidTr="000A6EC7">
        <w:trPr>
          <w:trHeight w:val="1833"/>
        </w:trPr>
        <w:tc>
          <w:tcPr>
            <w:tcW w:w="7614" w:type="dxa"/>
            <w:vAlign w:val="center"/>
            <w:hideMark/>
          </w:tcPr>
          <w:p w14:paraId="27B55EB8" w14:textId="7EB0CE31" w:rsidR="00445786" w:rsidRPr="00686FEF" w:rsidRDefault="00445786" w:rsidP="00C15B4A">
            <w:r w:rsidRPr="00694E38">
              <w:rPr>
                <w:b/>
                <w:bCs/>
              </w:rPr>
              <w:t>Directive (EU) 2024/1785</w:t>
            </w:r>
            <w:r w:rsidRPr="00686FEF">
              <w:t xml:space="preserve"> of the European Parliament and of the Council of 24 April 2024 amending Directive 2010/75/EU of the European Parliament and of the Council on industrial emissions (integrated pollution prevention and control) and Council Directive 1999/31/EC on the landfill of </w:t>
            </w:r>
            <w:r w:rsidR="00EC4A60" w:rsidRPr="00686FEF">
              <w:t>waste Text</w:t>
            </w:r>
            <w:r w:rsidRPr="00686FEF">
              <w:t xml:space="preserve"> with EEA relevance.</w:t>
            </w:r>
            <w:r w:rsidR="00694E38">
              <w:t xml:space="preserve"> (</w:t>
            </w:r>
            <w:r w:rsidR="00694E38" w:rsidRPr="00694E38">
              <w:rPr>
                <w:b/>
                <w:bCs/>
              </w:rPr>
              <w:t>IE Directive</w:t>
            </w:r>
            <w:r w:rsidR="00694E38">
              <w:t>)</w:t>
            </w:r>
          </w:p>
        </w:tc>
        <w:tc>
          <w:tcPr>
            <w:tcW w:w="1557" w:type="dxa"/>
            <w:vAlign w:val="center"/>
            <w:hideMark/>
          </w:tcPr>
          <w:p w14:paraId="73FF7ADA" w14:textId="2FAA5CA5" w:rsidR="00445786" w:rsidRPr="00686FEF" w:rsidRDefault="00445786" w:rsidP="00C15B4A">
            <w:pPr>
              <w:spacing w:line="278" w:lineRule="auto"/>
            </w:pPr>
            <w:r w:rsidRPr="00686FEF">
              <w:t>01-07-2026</w:t>
            </w:r>
          </w:p>
        </w:tc>
        <w:tc>
          <w:tcPr>
            <w:tcW w:w="5769" w:type="dxa"/>
            <w:vAlign w:val="center"/>
          </w:tcPr>
          <w:p w14:paraId="0193F162" w14:textId="5427F0A9" w:rsidR="00445786" w:rsidRPr="00686FEF" w:rsidRDefault="00FD17F5" w:rsidP="00C15B4A">
            <w:r>
              <w:t>Currently being transposed</w:t>
            </w:r>
          </w:p>
        </w:tc>
      </w:tr>
      <w:tr w:rsidR="002104C4" w:rsidRPr="00686FEF" w14:paraId="29B1305B" w14:textId="77777777" w:rsidTr="000A6EC7">
        <w:trPr>
          <w:trHeight w:val="1547"/>
        </w:trPr>
        <w:tc>
          <w:tcPr>
            <w:tcW w:w="7614" w:type="dxa"/>
            <w:vAlign w:val="center"/>
            <w:hideMark/>
          </w:tcPr>
          <w:p w14:paraId="48A7AE00" w14:textId="77777777" w:rsidR="002104C4" w:rsidRPr="00686FEF" w:rsidRDefault="002104C4" w:rsidP="00C15B4A">
            <w:r w:rsidRPr="00694E38">
              <w:rPr>
                <w:b/>
                <w:bCs/>
              </w:rPr>
              <w:t>Directive (EU) 2024/1788</w:t>
            </w:r>
            <w:r w:rsidRPr="00686FEF">
              <w:t xml:space="preserve"> of the European Parliament and of the Council of 13 June 2024 on common rules for the internal markets for renewable gas, natural gas and hydrogen, amending Directive (EU) 2023/1791 and repealing Directive 2009/73/EC (recast) (Text with EEA relevance)</w:t>
            </w:r>
          </w:p>
        </w:tc>
        <w:tc>
          <w:tcPr>
            <w:tcW w:w="1557" w:type="dxa"/>
            <w:vAlign w:val="center"/>
            <w:hideMark/>
          </w:tcPr>
          <w:p w14:paraId="63CB151F" w14:textId="77777777" w:rsidR="002104C4" w:rsidRPr="00686FEF" w:rsidRDefault="002104C4" w:rsidP="00C15B4A">
            <w:r w:rsidRPr="00686FEF">
              <w:t>05-08-2026</w:t>
            </w:r>
          </w:p>
        </w:tc>
        <w:tc>
          <w:tcPr>
            <w:tcW w:w="5769" w:type="dxa"/>
            <w:vAlign w:val="center"/>
            <w:hideMark/>
          </w:tcPr>
          <w:p w14:paraId="6C80F12D" w14:textId="0FB58E19" w:rsidR="002104C4" w:rsidRPr="00686FEF" w:rsidRDefault="002104C4" w:rsidP="00C15B4A">
            <w:r>
              <w:t>Currently being transposed</w:t>
            </w:r>
          </w:p>
        </w:tc>
      </w:tr>
      <w:tr w:rsidR="00C90CB0" w:rsidRPr="00686FEF" w14:paraId="1658A9D4" w14:textId="77777777" w:rsidTr="000A6EC7">
        <w:trPr>
          <w:trHeight w:val="1547"/>
        </w:trPr>
        <w:tc>
          <w:tcPr>
            <w:tcW w:w="7614" w:type="dxa"/>
            <w:vAlign w:val="center"/>
          </w:tcPr>
          <w:p w14:paraId="16484F7D" w14:textId="7A372929" w:rsidR="00C90CB0" w:rsidRPr="00694E38" w:rsidRDefault="00C90CB0" w:rsidP="00C15B4A">
            <w:pPr>
              <w:rPr>
                <w:b/>
                <w:bCs/>
              </w:rPr>
            </w:pPr>
            <w:r w:rsidRPr="00C90CB0">
              <w:rPr>
                <w:b/>
                <w:bCs/>
              </w:rPr>
              <w:t xml:space="preserve">Directive (EU) 2024/2881 </w:t>
            </w:r>
            <w:r w:rsidRPr="00C90CB0">
              <w:t>of the European Parliament and of the Council of 23 October 2024 on ambient air quality and cleaner air for Europe (recast)</w:t>
            </w:r>
          </w:p>
        </w:tc>
        <w:tc>
          <w:tcPr>
            <w:tcW w:w="1557" w:type="dxa"/>
            <w:vAlign w:val="center"/>
          </w:tcPr>
          <w:p w14:paraId="6F1E25A2" w14:textId="31540297" w:rsidR="00C90CB0" w:rsidRPr="00686FEF" w:rsidRDefault="00C90CB0" w:rsidP="00C15B4A">
            <w:r w:rsidRPr="00C90CB0">
              <w:t>11</w:t>
            </w:r>
            <w:r>
              <w:t>-</w:t>
            </w:r>
            <w:r w:rsidRPr="00C90CB0">
              <w:t>12</w:t>
            </w:r>
            <w:r>
              <w:t>-</w:t>
            </w:r>
            <w:r w:rsidRPr="00C90CB0">
              <w:t>2026</w:t>
            </w:r>
          </w:p>
        </w:tc>
        <w:tc>
          <w:tcPr>
            <w:tcW w:w="5769" w:type="dxa"/>
            <w:vAlign w:val="center"/>
          </w:tcPr>
          <w:p w14:paraId="7296982B" w14:textId="3B35D8BD" w:rsidR="00C90CB0" w:rsidRDefault="00C90CB0" w:rsidP="00C15B4A">
            <w:r>
              <w:t>Currently being transposed</w:t>
            </w:r>
          </w:p>
        </w:tc>
      </w:tr>
    </w:tbl>
    <w:p w14:paraId="33005E24" w14:textId="77777777" w:rsidR="00686FEF" w:rsidRDefault="00686FEF"/>
    <w:sectPr w:rsidR="00686FEF" w:rsidSect="0044578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FEF"/>
    <w:rsid w:val="000A6EC7"/>
    <w:rsid w:val="00104A9F"/>
    <w:rsid w:val="002104C4"/>
    <w:rsid w:val="00445786"/>
    <w:rsid w:val="004F1F19"/>
    <w:rsid w:val="005B6A2D"/>
    <w:rsid w:val="005E50DE"/>
    <w:rsid w:val="005E644D"/>
    <w:rsid w:val="00686A12"/>
    <w:rsid w:val="00686FEF"/>
    <w:rsid w:val="00694E38"/>
    <w:rsid w:val="00756B00"/>
    <w:rsid w:val="0076512E"/>
    <w:rsid w:val="007D2EC7"/>
    <w:rsid w:val="007D368A"/>
    <w:rsid w:val="008524D3"/>
    <w:rsid w:val="008F035D"/>
    <w:rsid w:val="009F281D"/>
    <w:rsid w:val="00A8120D"/>
    <w:rsid w:val="00C15B4A"/>
    <w:rsid w:val="00C90CB0"/>
    <w:rsid w:val="00D12C33"/>
    <w:rsid w:val="00D85B2F"/>
    <w:rsid w:val="00EC4A60"/>
    <w:rsid w:val="00F151DB"/>
    <w:rsid w:val="00F72320"/>
    <w:rsid w:val="00FD17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7AC79"/>
  <w15:chartTrackingRefBased/>
  <w15:docId w15:val="{996DC6EB-3C09-46DE-B5C4-98D73D3E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F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6F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6F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6F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6F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6F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F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F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F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F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6F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6F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6F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6F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6F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FEF"/>
    <w:rPr>
      <w:rFonts w:eastAsiaTheme="majorEastAsia" w:cstheme="majorBidi"/>
      <w:color w:val="272727" w:themeColor="text1" w:themeTint="D8"/>
    </w:rPr>
  </w:style>
  <w:style w:type="paragraph" w:styleId="Title">
    <w:name w:val="Title"/>
    <w:basedOn w:val="Normal"/>
    <w:next w:val="Normal"/>
    <w:link w:val="TitleChar"/>
    <w:uiPriority w:val="10"/>
    <w:qFormat/>
    <w:rsid w:val="00686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FEF"/>
    <w:pPr>
      <w:spacing w:before="160"/>
      <w:jc w:val="center"/>
    </w:pPr>
    <w:rPr>
      <w:i/>
      <w:iCs/>
      <w:color w:val="404040" w:themeColor="text1" w:themeTint="BF"/>
    </w:rPr>
  </w:style>
  <w:style w:type="character" w:customStyle="1" w:styleId="QuoteChar">
    <w:name w:val="Quote Char"/>
    <w:basedOn w:val="DefaultParagraphFont"/>
    <w:link w:val="Quote"/>
    <w:uiPriority w:val="29"/>
    <w:rsid w:val="00686FEF"/>
    <w:rPr>
      <w:i/>
      <w:iCs/>
      <w:color w:val="404040" w:themeColor="text1" w:themeTint="BF"/>
    </w:rPr>
  </w:style>
  <w:style w:type="paragraph" w:styleId="ListParagraph">
    <w:name w:val="List Paragraph"/>
    <w:basedOn w:val="Normal"/>
    <w:uiPriority w:val="34"/>
    <w:qFormat/>
    <w:rsid w:val="00686FEF"/>
    <w:pPr>
      <w:ind w:left="720"/>
      <w:contextualSpacing/>
    </w:pPr>
  </w:style>
  <w:style w:type="character" w:styleId="IntenseEmphasis">
    <w:name w:val="Intense Emphasis"/>
    <w:basedOn w:val="DefaultParagraphFont"/>
    <w:uiPriority w:val="21"/>
    <w:qFormat/>
    <w:rsid w:val="00686FEF"/>
    <w:rPr>
      <w:i/>
      <w:iCs/>
      <w:color w:val="2F5496" w:themeColor="accent1" w:themeShade="BF"/>
    </w:rPr>
  </w:style>
  <w:style w:type="paragraph" w:styleId="IntenseQuote">
    <w:name w:val="Intense Quote"/>
    <w:basedOn w:val="Normal"/>
    <w:next w:val="Normal"/>
    <w:link w:val="IntenseQuoteChar"/>
    <w:uiPriority w:val="30"/>
    <w:qFormat/>
    <w:rsid w:val="00686F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6FEF"/>
    <w:rPr>
      <w:i/>
      <w:iCs/>
      <w:color w:val="2F5496" w:themeColor="accent1" w:themeShade="BF"/>
    </w:rPr>
  </w:style>
  <w:style w:type="character" w:styleId="IntenseReference">
    <w:name w:val="Intense Reference"/>
    <w:basedOn w:val="DefaultParagraphFont"/>
    <w:uiPriority w:val="32"/>
    <w:qFormat/>
    <w:rsid w:val="00686FEF"/>
    <w:rPr>
      <w:b/>
      <w:bCs/>
      <w:smallCaps/>
      <w:color w:val="2F5496" w:themeColor="accent1" w:themeShade="BF"/>
      <w:spacing w:val="5"/>
    </w:rPr>
  </w:style>
  <w:style w:type="table" w:styleId="TableGrid">
    <w:name w:val="Table Grid"/>
    <w:basedOn w:val="TableNormal"/>
    <w:uiPriority w:val="39"/>
    <w:rsid w:val="00686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4A60"/>
    <w:rPr>
      <w:sz w:val="16"/>
      <w:szCs w:val="16"/>
    </w:rPr>
  </w:style>
  <w:style w:type="paragraph" w:styleId="CommentText">
    <w:name w:val="annotation text"/>
    <w:basedOn w:val="Normal"/>
    <w:link w:val="CommentTextChar"/>
    <w:uiPriority w:val="99"/>
    <w:semiHidden/>
    <w:unhideWhenUsed/>
    <w:rsid w:val="00EC4A60"/>
    <w:pPr>
      <w:spacing w:line="240" w:lineRule="auto"/>
    </w:pPr>
    <w:rPr>
      <w:sz w:val="20"/>
      <w:szCs w:val="20"/>
    </w:rPr>
  </w:style>
  <w:style w:type="character" w:customStyle="1" w:styleId="CommentTextChar">
    <w:name w:val="Comment Text Char"/>
    <w:basedOn w:val="DefaultParagraphFont"/>
    <w:link w:val="CommentText"/>
    <w:uiPriority w:val="99"/>
    <w:semiHidden/>
    <w:rsid w:val="00EC4A60"/>
    <w:rPr>
      <w:sz w:val="20"/>
      <w:szCs w:val="20"/>
    </w:rPr>
  </w:style>
  <w:style w:type="paragraph" w:styleId="CommentSubject">
    <w:name w:val="annotation subject"/>
    <w:basedOn w:val="CommentText"/>
    <w:next w:val="CommentText"/>
    <w:link w:val="CommentSubjectChar"/>
    <w:uiPriority w:val="99"/>
    <w:semiHidden/>
    <w:unhideWhenUsed/>
    <w:rsid w:val="00EC4A60"/>
    <w:rPr>
      <w:b/>
      <w:bCs/>
    </w:rPr>
  </w:style>
  <w:style w:type="character" w:customStyle="1" w:styleId="CommentSubjectChar">
    <w:name w:val="Comment Subject Char"/>
    <w:basedOn w:val="CommentTextChar"/>
    <w:link w:val="CommentSubject"/>
    <w:uiPriority w:val="99"/>
    <w:semiHidden/>
    <w:rsid w:val="00EC4A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8538">
      <w:marLeft w:val="0"/>
      <w:marRight w:val="0"/>
      <w:marTop w:val="0"/>
      <w:marBottom w:val="0"/>
      <w:divBdr>
        <w:top w:val="none" w:sz="0" w:space="0" w:color="auto"/>
        <w:left w:val="none" w:sz="0" w:space="0" w:color="auto"/>
        <w:bottom w:val="none" w:sz="0" w:space="0" w:color="auto"/>
        <w:right w:val="none" w:sz="0" w:space="0" w:color="auto"/>
      </w:divBdr>
      <w:divsChild>
        <w:div w:id="611402677">
          <w:marLeft w:val="0"/>
          <w:marRight w:val="0"/>
          <w:marTop w:val="0"/>
          <w:marBottom w:val="0"/>
          <w:divBdr>
            <w:top w:val="none" w:sz="0" w:space="0" w:color="auto"/>
            <w:left w:val="none" w:sz="0" w:space="0" w:color="auto"/>
            <w:bottom w:val="none" w:sz="0" w:space="0" w:color="auto"/>
            <w:right w:val="none" w:sz="0" w:space="0" w:color="auto"/>
          </w:divBdr>
        </w:div>
      </w:divsChild>
    </w:div>
    <w:div w:id="161237379">
      <w:marLeft w:val="0"/>
      <w:marRight w:val="0"/>
      <w:marTop w:val="0"/>
      <w:marBottom w:val="0"/>
      <w:divBdr>
        <w:top w:val="none" w:sz="0" w:space="0" w:color="auto"/>
        <w:left w:val="none" w:sz="0" w:space="0" w:color="auto"/>
        <w:bottom w:val="none" w:sz="0" w:space="0" w:color="auto"/>
        <w:right w:val="none" w:sz="0" w:space="0" w:color="auto"/>
      </w:divBdr>
      <w:divsChild>
        <w:div w:id="149180772">
          <w:marLeft w:val="0"/>
          <w:marRight w:val="0"/>
          <w:marTop w:val="0"/>
          <w:marBottom w:val="0"/>
          <w:divBdr>
            <w:top w:val="none" w:sz="0" w:space="0" w:color="auto"/>
            <w:left w:val="none" w:sz="0" w:space="0" w:color="auto"/>
            <w:bottom w:val="none" w:sz="0" w:space="0" w:color="auto"/>
            <w:right w:val="none" w:sz="0" w:space="0" w:color="auto"/>
          </w:divBdr>
        </w:div>
      </w:divsChild>
    </w:div>
    <w:div w:id="411202273">
      <w:marLeft w:val="0"/>
      <w:marRight w:val="0"/>
      <w:marTop w:val="0"/>
      <w:marBottom w:val="0"/>
      <w:divBdr>
        <w:top w:val="none" w:sz="0" w:space="0" w:color="auto"/>
        <w:left w:val="none" w:sz="0" w:space="0" w:color="auto"/>
        <w:bottom w:val="none" w:sz="0" w:space="0" w:color="auto"/>
        <w:right w:val="none" w:sz="0" w:space="0" w:color="auto"/>
      </w:divBdr>
      <w:divsChild>
        <w:div w:id="1639721517">
          <w:marLeft w:val="0"/>
          <w:marRight w:val="0"/>
          <w:marTop w:val="0"/>
          <w:marBottom w:val="0"/>
          <w:divBdr>
            <w:top w:val="none" w:sz="0" w:space="0" w:color="auto"/>
            <w:left w:val="none" w:sz="0" w:space="0" w:color="auto"/>
            <w:bottom w:val="none" w:sz="0" w:space="0" w:color="auto"/>
            <w:right w:val="none" w:sz="0" w:space="0" w:color="auto"/>
          </w:divBdr>
        </w:div>
      </w:divsChild>
    </w:div>
    <w:div w:id="494995331">
      <w:bodyDiv w:val="1"/>
      <w:marLeft w:val="0"/>
      <w:marRight w:val="0"/>
      <w:marTop w:val="0"/>
      <w:marBottom w:val="0"/>
      <w:divBdr>
        <w:top w:val="none" w:sz="0" w:space="0" w:color="auto"/>
        <w:left w:val="none" w:sz="0" w:space="0" w:color="auto"/>
        <w:bottom w:val="none" w:sz="0" w:space="0" w:color="auto"/>
        <w:right w:val="none" w:sz="0" w:space="0" w:color="auto"/>
      </w:divBdr>
      <w:divsChild>
        <w:div w:id="1655063447">
          <w:marLeft w:val="0"/>
          <w:marRight w:val="0"/>
          <w:marTop w:val="0"/>
          <w:marBottom w:val="0"/>
          <w:divBdr>
            <w:top w:val="none" w:sz="0" w:space="0" w:color="auto"/>
            <w:left w:val="none" w:sz="0" w:space="0" w:color="auto"/>
            <w:bottom w:val="none" w:sz="0" w:space="0" w:color="auto"/>
            <w:right w:val="none" w:sz="0" w:space="0" w:color="auto"/>
          </w:divBdr>
          <w:divsChild>
            <w:div w:id="1516649415">
              <w:marLeft w:val="0"/>
              <w:marRight w:val="0"/>
              <w:marTop w:val="0"/>
              <w:marBottom w:val="0"/>
              <w:divBdr>
                <w:top w:val="none" w:sz="0" w:space="0" w:color="auto"/>
                <w:left w:val="none" w:sz="0" w:space="0" w:color="auto"/>
                <w:bottom w:val="none" w:sz="0" w:space="0" w:color="auto"/>
                <w:right w:val="none" w:sz="0" w:space="0" w:color="auto"/>
              </w:divBdr>
              <w:divsChild>
                <w:div w:id="947737798">
                  <w:marLeft w:val="0"/>
                  <w:marRight w:val="0"/>
                  <w:marTop w:val="0"/>
                  <w:marBottom w:val="0"/>
                  <w:divBdr>
                    <w:top w:val="none" w:sz="0" w:space="0" w:color="auto"/>
                    <w:left w:val="none" w:sz="0" w:space="0" w:color="auto"/>
                    <w:bottom w:val="none" w:sz="0" w:space="0" w:color="auto"/>
                    <w:right w:val="none" w:sz="0" w:space="0" w:color="auto"/>
                  </w:divBdr>
                  <w:divsChild>
                    <w:div w:id="10108030">
                      <w:marLeft w:val="0"/>
                      <w:marRight w:val="0"/>
                      <w:marTop w:val="0"/>
                      <w:marBottom w:val="0"/>
                      <w:divBdr>
                        <w:top w:val="none" w:sz="0" w:space="0" w:color="auto"/>
                        <w:left w:val="none" w:sz="0" w:space="0" w:color="auto"/>
                        <w:bottom w:val="none" w:sz="0" w:space="0" w:color="auto"/>
                        <w:right w:val="none" w:sz="0" w:space="0" w:color="auto"/>
                      </w:divBdr>
                      <w:divsChild>
                        <w:div w:id="681902630">
                          <w:marLeft w:val="0"/>
                          <w:marRight w:val="0"/>
                          <w:marTop w:val="0"/>
                          <w:marBottom w:val="0"/>
                          <w:divBdr>
                            <w:top w:val="none" w:sz="0" w:space="0" w:color="auto"/>
                            <w:left w:val="none" w:sz="0" w:space="0" w:color="auto"/>
                            <w:bottom w:val="none" w:sz="0" w:space="0" w:color="auto"/>
                            <w:right w:val="none" w:sz="0" w:space="0" w:color="auto"/>
                          </w:divBdr>
                          <w:divsChild>
                            <w:div w:id="8213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442063">
      <w:marLeft w:val="0"/>
      <w:marRight w:val="0"/>
      <w:marTop w:val="0"/>
      <w:marBottom w:val="0"/>
      <w:divBdr>
        <w:top w:val="none" w:sz="0" w:space="0" w:color="auto"/>
        <w:left w:val="none" w:sz="0" w:space="0" w:color="auto"/>
        <w:bottom w:val="none" w:sz="0" w:space="0" w:color="auto"/>
        <w:right w:val="none" w:sz="0" w:space="0" w:color="auto"/>
      </w:divBdr>
      <w:divsChild>
        <w:div w:id="1391541677">
          <w:marLeft w:val="0"/>
          <w:marRight w:val="0"/>
          <w:marTop w:val="0"/>
          <w:marBottom w:val="0"/>
          <w:divBdr>
            <w:top w:val="none" w:sz="0" w:space="0" w:color="auto"/>
            <w:left w:val="none" w:sz="0" w:space="0" w:color="auto"/>
            <w:bottom w:val="none" w:sz="0" w:space="0" w:color="auto"/>
            <w:right w:val="none" w:sz="0" w:space="0" w:color="auto"/>
          </w:divBdr>
        </w:div>
      </w:divsChild>
    </w:div>
    <w:div w:id="852063169">
      <w:marLeft w:val="0"/>
      <w:marRight w:val="0"/>
      <w:marTop w:val="0"/>
      <w:marBottom w:val="0"/>
      <w:divBdr>
        <w:top w:val="none" w:sz="0" w:space="0" w:color="auto"/>
        <w:left w:val="none" w:sz="0" w:space="0" w:color="auto"/>
        <w:bottom w:val="none" w:sz="0" w:space="0" w:color="auto"/>
        <w:right w:val="none" w:sz="0" w:space="0" w:color="auto"/>
      </w:divBdr>
      <w:divsChild>
        <w:div w:id="1171867220">
          <w:marLeft w:val="0"/>
          <w:marRight w:val="0"/>
          <w:marTop w:val="0"/>
          <w:marBottom w:val="0"/>
          <w:divBdr>
            <w:top w:val="none" w:sz="0" w:space="0" w:color="auto"/>
            <w:left w:val="none" w:sz="0" w:space="0" w:color="auto"/>
            <w:bottom w:val="none" w:sz="0" w:space="0" w:color="auto"/>
            <w:right w:val="none" w:sz="0" w:space="0" w:color="auto"/>
          </w:divBdr>
        </w:div>
      </w:divsChild>
    </w:div>
    <w:div w:id="1136531351">
      <w:marLeft w:val="0"/>
      <w:marRight w:val="0"/>
      <w:marTop w:val="0"/>
      <w:marBottom w:val="0"/>
      <w:divBdr>
        <w:top w:val="none" w:sz="0" w:space="0" w:color="auto"/>
        <w:left w:val="none" w:sz="0" w:space="0" w:color="auto"/>
        <w:bottom w:val="none" w:sz="0" w:space="0" w:color="auto"/>
        <w:right w:val="none" w:sz="0" w:space="0" w:color="auto"/>
      </w:divBdr>
      <w:divsChild>
        <w:div w:id="831217259">
          <w:marLeft w:val="0"/>
          <w:marRight w:val="0"/>
          <w:marTop w:val="0"/>
          <w:marBottom w:val="0"/>
          <w:divBdr>
            <w:top w:val="none" w:sz="0" w:space="0" w:color="auto"/>
            <w:left w:val="none" w:sz="0" w:space="0" w:color="auto"/>
            <w:bottom w:val="none" w:sz="0" w:space="0" w:color="auto"/>
            <w:right w:val="none" w:sz="0" w:space="0" w:color="auto"/>
          </w:divBdr>
          <w:divsChild>
            <w:div w:id="9321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73045">
      <w:marLeft w:val="0"/>
      <w:marRight w:val="0"/>
      <w:marTop w:val="0"/>
      <w:marBottom w:val="0"/>
      <w:divBdr>
        <w:top w:val="none" w:sz="0" w:space="0" w:color="auto"/>
        <w:left w:val="none" w:sz="0" w:space="0" w:color="auto"/>
        <w:bottom w:val="none" w:sz="0" w:space="0" w:color="auto"/>
        <w:right w:val="none" w:sz="0" w:space="0" w:color="auto"/>
      </w:divBdr>
      <w:divsChild>
        <w:div w:id="1275675001">
          <w:marLeft w:val="0"/>
          <w:marRight w:val="0"/>
          <w:marTop w:val="0"/>
          <w:marBottom w:val="0"/>
          <w:divBdr>
            <w:top w:val="none" w:sz="0" w:space="0" w:color="auto"/>
            <w:left w:val="none" w:sz="0" w:space="0" w:color="auto"/>
            <w:bottom w:val="none" w:sz="0" w:space="0" w:color="auto"/>
            <w:right w:val="none" w:sz="0" w:space="0" w:color="auto"/>
          </w:divBdr>
        </w:div>
      </w:divsChild>
    </w:div>
    <w:div w:id="1553812348">
      <w:marLeft w:val="0"/>
      <w:marRight w:val="0"/>
      <w:marTop w:val="0"/>
      <w:marBottom w:val="0"/>
      <w:divBdr>
        <w:top w:val="none" w:sz="0" w:space="0" w:color="auto"/>
        <w:left w:val="none" w:sz="0" w:space="0" w:color="auto"/>
        <w:bottom w:val="none" w:sz="0" w:space="0" w:color="auto"/>
        <w:right w:val="none" w:sz="0" w:space="0" w:color="auto"/>
      </w:divBdr>
      <w:divsChild>
        <w:div w:id="1002977003">
          <w:marLeft w:val="0"/>
          <w:marRight w:val="0"/>
          <w:marTop w:val="0"/>
          <w:marBottom w:val="0"/>
          <w:divBdr>
            <w:top w:val="none" w:sz="0" w:space="0" w:color="auto"/>
            <w:left w:val="none" w:sz="0" w:space="0" w:color="auto"/>
            <w:bottom w:val="none" w:sz="0" w:space="0" w:color="auto"/>
            <w:right w:val="none" w:sz="0" w:space="0" w:color="auto"/>
          </w:divBdr>
          <w:divsChild>
            <w:div w:id="7907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87031">
      <w:marLeft w:val="0"/>
      <w:marRight w:val="0"/>
      <w:marTop w:val="0"/>
      <w:marBottom w:val="0"/>
      <w:divBdr>
        <w:top w:val="none" w:sz="0" w:space="0" w:color="auto"/>
        <w:left w:val="none" w:sz="0" w:space="0" w:color="auto"/>
        <w:bottom w:val="none" w:sz="0" w:space="0" w:color="auto"/>
        <w:right w:val="none" w:sz="0" w:space="0" w:color="auto"/>
      </w:divBdr>
      <w:divsChild>
        <w:div w:id="1701513436">
          <w:marLeft w:val="0"/>
          <w:marRight w:val="0"/>
          <w:marTop w:val="0"/>
          <w:marBottom w:val="0"/>
          <w:divBdr>
            <w:top w:val="none" w:sz="0" w:space="0" w:color="auto"/>
            <w:left w:val="none" w:sz="0" w:space="0" w:color="auto"/>
            <w:bottom w:val="none" w:sz="0" w:space="0" w:color="auto"/>
            <w:right w:val="none" w:sz="0" w:space="0" w:color="auto"/>
          </w:divBdr>
        </w:div>
      </w:divsChild>
    </w:div>
    <w:div w:id="1748112266">
      <w:bodyDiv w:val="1"/>
      <w:marLeft w:val="0"/>
      <w:marRight w:val="0"/>
      <w:marTop w:val="0"/>
      <w:marBottom w:val="0"/>
      <w:divBdr>
        <w:top w:val="none" w:sz="0" w:space="0" w:color="auto"/>
        <w:left w:val="none" w:sz="0" w:space="0" w:color="auto"/>
        <w:bottom w:val="none" w:sz="0" w:space="0" w:color="auto"/>
        <w:right w:val="none" w:sz="0" w:space="0" w:color="auto"/>
      </w:divBdr>
      <w:divsChild>
        <w:div w:id="1247499413">
          <w:marLeft w:val="0"/>
          <w:marRight w:val="0"/>
          <w:marTop w:val="0"/>
          <w:marBottom w:val="0"/>
          <w:divBdr>
            <w:top w:val="none" w:sz="0" w:space="0" w:color="auto"/>
            <w:left w:val="none" w:sz="0" w:space="0" w:color="auto"/>
            <w:bottom w:val="none" w:sz="0" w:space="0" w:color="auto"/>
            <w:right w:val="none" w:sz="0" w:space="0" w:color="auto"/>
          </w:divBdr>
          <w:divsChild>
            <w:div w:id="2003074966">
              <w:marLeft w:val="0"/>
              <w:marRight w:val="0"/>
              <w:marTop w:val="0"/>
              <w:marBottom w:val="0"/>
              <w:divBdr>
                <w:top w:val="none" w:sz="0" w:space="0" w:color="auto"/>
                <w:left w:val="none" w:sz="0" w:space="0" w:color="auto"/>
                <w:bottom w:val="none" w:sz="0" w:space="0" w:color="auto"/>
                <w:right w:val="none" w:sz="0" w:space="0" w:color="auto"/>
              </w:divBdr>
              <w:divsChild>
                <w:div w:id="173542797">
                  <w:marLeft w:val="0"/>
                  <w:marRight w:val="0"/>
                  <w:marTop w:val="0"/>
                  <w:marBottom w:val="0"/>
                  <w:divBdr>
                    <w:top w:val="none" w:sz="0" w:space="0" w:color="auto"/>
                    <w:left w:val="none" w:sz="0" w:space="0" w:color="auto"/>
                    <w:bottom w:val="none" w:sz="0" w:space="0" w:color="auto"/>
                    <w:right w:val="none" w:sz="0" w:space="0" w:color="auto"/>
                  </w:divBdr>
                  <w:divsChild>
                    <w:div w:id="1491094420">
                      <w:marLeft w:val="0"/>
                      <w:marRight w:val="0"/>
                      <w:marTop w:val="0"/>
                      <w:marBottom w:val="0"/>
                      <w:divBdr>
                        <w:top w:val="none" w:sz="0" w:space="0" w:color="auto"/>
                        <w:left w:val="none" w:sz="0" w:space="0" w:color="auto"/>
                        <w:bottom w:val="none" w:sz="0" w:space="0" w:color="auto"/>
                        <w:right w:val="none" w:sz="0" w:space="0" w:color="auto"/>
                      </w:divBdr>
                      <w:divsChild>
                        <w:div w:id="1724676527">
                          <w:marLeft w:val="0"/>
                          <w:marRight w:val="0"/>
                          <w:marTop w:val="0"/>
                          <w:marBottom w:val="0"/>
                          <w:divBdr>
                            <w:top w:val="none" w:sz="0" w:space="0" w:color="auto"/>
                            <w:left w:val="none" w:sz="0" w:space="0" w:color="auto"/>
                            <w:bottom w:val="none" w:sz="0" w:space="0" w:color="auto"/>
                            <w:right w:val="none" w:sz="0" w:space="0" w:color="auto"/>
                          </w:divBdr>
                          <w:divsChild>
                            <w:div w:id="132824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321153">
      <w:marLeft w:val="0"/>
      <w:marRight w:val="0"/>
      <w:marTop w:val="0"/>
      <w:marBottom w:val="0"/>
      <w:divBdr>
        <w:top w:val="none" w:sz="0" w:space="0" w:color="auto"/>
        <w:left w:val="none" w:sz="0" w:space="0" w:color="auto"/>
        <w:bottom w:val="none" w:sz="0" w:space="0" w:color="auto"/>
        <w:right w:val="none" w:sz="0" w:space="0" w:color="auto"/>
      </w:divBdr>
      <w:divsChild>
        <w:div w:id="1664621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568268B15B54DB0DEAEF4B53168A2" ma:contentTypeVersion="1" ma:contentTypeDescription="Create a new document." ma:contentTypeScope="" ma:versionID="1e3c821761cead27cd4e0a3e5f62efba">
  <xsd:schema xmlns:xsd="http://www.w3.org/2001/XMLSchema" xmlns:xs="http://www.w3.org/2001/XMLSchema" xmlns:p="http://schemas.microsoft.com/office/2006/metadata/properties" xmlns:ns1="http://schemas.microsoft.com/sharepoint/v3" targetNamespace="http://schemas.microsoft.com/office/2006/metadata/properties" ma:root="true" ma:fieldsID="01699b33c82bae0c4578ac1b7a291d7e" ns1:_="">
    <xsd:import namespace="http://schemas.microsoft.com/sharepoint/v3"/>
    <xsd:element name="properties">
      <xsd:complexType>
        <xsd:sequence>
          <xsd:element name="documentManagement">
            <xsd:complexType>
              <xsd:all>
                <xsd:element ref="ns1:OCRLast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CRLastProcessed" ma:index="8" nillable="true" ma:displayName="OCR Last Processed" ma:format="DateTime" ma:hidden="true" ma:internalName="OCRLastProcess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CRLastProcessed xmlns="http://schemas.microsoft.com/sharepoint/v3" xsi:nil="true"/>
  </documentManagement>
</p:properties>
</file>

<file path=customXml/itemProps1.xml><?xml version="1.0" encoding="utf-8"?>
<ds:datastoreItem xmlns:ds="http://schemas.openxmlformats.org/officeDocument/2006/customXml" ds:itemID="{6DF269DF-111A-4E57-8CD1-0DB666CA4FAC}"/>
</file>

<file path=customXml/itemProps2.xml><?xml version="1.0" encoding="utf-8"?>
<ds:datastoreItem xmlns:ds="http://schemas.openxmlformats.org/officeDocument/2006/customXml" ds:itemID="{72F80F65-1131-4374-85B5-C8CA533EF6FD}"/>
</file>

<file path=customXml/itemProps3.xml><?xml version="1.0" encoding="utf-8"?>
<ds:datastoreItem xmlns:ds="http://schemas.openxmlformats.org/officeDocument/2006/customXml" ds:itemID="{EC51CD3C-EDEA-46B4-B681-81D00208C7BD}"/>
</file>

<file path=docProps/app.xml><?xml version="1.0" encoding="utf-8"?>
<Properties xmlns="http://schemas.openxmlformats.org/officeDocument/2006/extended-properties" xmlns:vt="http://schemas.openxmlformats.org/officeDocument/2006/docPropsVTypes">
  <Template>Normal</Template>
  <TotalTime>80</TotalTime>
  <Pages>3</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O'Reilly</dc:creator>
  <cp:keywords/>
  <dc:description/>
  <cp:lastModifiedBy>Isobel Burke (DECC)</cp:lastModifiedBy>
  <cp:revision>7</cp:revision>
  <dcterms:created xsi:type="dcterms:W3CDTF">2025-04-25T13:49:00Z</dcterms:created>
  <dcterms:modified xsi:type="dcterms:W3CDTF">2025-04-28T08:22:00Z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0x0101002FB568268B15B54DB0DEAEF4B53168A2</vt:lpwstr>
  </property>
</Properties>
</file>