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6786B" w14:textId="1D0D7FE3" w:rsidR="00FE116E" w:rsidRDefault="002A5798" w:rsidP="002A5798">
      <w:pPr>
        <w:rPr>
          <w:rFonts w:ascii="Segoe UI Light" w:hAnsi="Segoe UI Light" w:cs="Segoe UI Light"/>
          <w:color w:val="262626"/>
          <w:sz w:val="54"/>
          <w:szCs w:val="54"/>
        </w:rPr>
      </w:pPr>
      <w:proofErr w:type="spellStart"/>
      <w:r w:rsidRPr="002A5798">
        <w:rPr>
          <w:rFonts w:ascii="Segoe UI Light" w:hAnsi="Segoe UI Light" w:cs="Segoe UI Light"/>
          <w:color w:val="262626"/>
          <w:sz w:val="54"/>
          <w:szCs w:val="54"/>
        </w:rPr>
        <w:t>PQRef</w:t>
      </w:r>
      <w:proofErr w:type="spellEnd"/>
      <w:r w:rsidRPr="002A5798">
        <w:rPr>
          <w:rFonts w:ascii="Segoe UI Light" w:hAnsi="Segoe UI Light" w:cs="Segoe UI Light"/>
          <w:color w:val="262626"/>
          <w:sz w:val="54"/>
          <w:szCs w:val="54"/>
        </w:rPr>
        <w:t>: 39388/24</w:t>
      </w:r>
    </w:p>
    <w:p w14:paraId="7082AC65" w14:textId="77777777" w:rsidR="002A5798" w:rsidRPr="002A5798" w:rsidRDefault="002A5798" w:rsidP="002A5798">
      <w:pPr>
        <w:spacing w:before="339" w:line="240" w:lineRule="auto"/>
        <w:outlineLvl w:val="2"/>
        <w:rPr>
          <w:rFonts w:ascii="inherit" w:eastAsia="Times New Roman" w:hAnsi="inherit" w:cs="Open Sans"/>
          <w:color w:val="001A26"/>
          <w:kern w:val="0"/>
          <w:sz w:val="36"/>
          <w:szCs w:val="36"/>
          <w:lang w:eastAsia="en-IE"/>
          <w14:ligatures w14:val="none"/>
        </w:rPr>
      </w:pPr>
      <w:r w:rsidRPr="002A5798">
        <w:rPr>
          <w:rFonts w:ascii="inherit" w:eastAsia="Times New Roman" w:hAnsi="inherit" w:cs="Open Sans"/>
          <w:color w:val="001A26"/>
          <w:kern w:val="0"/>
          <w:sz w:val="36"/>
          <w:szCs w:val="36"/>
          <w:lang w:eastAsia="en-IE"/>
          <w14:ligatures w14:val="none"/>
        </w:rPr>
        <w:t>Question</w:t>
      </w:r>
    </w:p>
    <w:p w14:paraId="601C9321" w14:textId="77777777" w:rsidR="002A5798" w:rsidRPr="002A5798" w:rsidRDefault="002A5798" w:rsidP="002A5798">
      <w:pPr>
        <w:spacing w:line="240" w:lineRule="auto"/>
        <w:jc w:val="both"/>
        <w:rPr>
          <w:rFonts w:ascii="Open Sans" w:eastAsia="Times New Roman" w:hAnsi="Open Sans" w:cs="Open Sans"/>
          <w:color w:val="001A26"/>
          <w:kern w:val="0"/>
          <w:sz w:val="21"/>
          <w:szCs w:val="21"/>
          <w:lang w:eastAsia="en-IE"/>
          <w14:ligatures w14:val="none"/>
        </w:rPr>
      </w:pPr>
      <w:r w:rsidRPr="002A5798">
        <w:rPr>
          <w:rFonts w:ascii="Open Sans" w:eastAsia="Times New Roman" w:hAnsi="Open Sans" w:cs="Open Sans"/>
          <w:color w:val="001A26"/>
          <w:kern w:val="0"/>
          <w:sz w:val="21"/>
          <w:szCs w:val="21"/>
          <w:lang w:eastAsia="en-IE"/>
          <w14:ligatures w14:val="none"/>
        </w:rPr>
        <w:t>To ask the Minister for Health the progress he has made, along with CORU, to streamline the timeframe to complete the recognition of qualifications and registration of those with non-Irish qualifications; and if he will make a statement on the matter.</w:t>
      </w:r>
    </w:p>
    <w:p w14:paraId="75F37013" w14:textId="77777777" w:rsidR="002A5798" w:rsidRDefault="002A5798" w:rsidP="002A5798"/>
    <w:p w14:paraId="524E2E95" w14:textId="36CCEA49" w:rsidR="002A5798" w:rsidRPr="00330CBE" w:rsidRDefault="002A5798" w:rsidP="002A5798">
      <w:pPr>
        <w:rPr>
          <w:rFonts w:ascii="Calibri" w:hAnsi="Calibri" w:cs="Calibri"/>
        </w:rPr>
      </w:pPr>
      <w:r w:rsidRPr="00330CBE">
        <w:rPr>
          <w:rFonts w:ascii="Calibri" w:hAnsi="Calibri" w:cs="Calibri"/>
        </w:rPr>
        <w:t xml:space="preserve">I can confirm that officials in my department are </w:t>
      </w:r>
      <w:r w:rsidR="00330CBE" w:rsidRPr="00330CBE">
        <w:rPr>
          <w:rFonts w:ascii="Calibri" w:hAnsi="Calibri" w:cs="Calibri"/>
        </w:rPr>
        <w:t>in regular contact with CORU where the matter of recognition and registration timelines have been discussed.  CORU ha</w:t>
      </w:r>
      <w:r w:rsidR="007F77E4">
        <w:rPr>
          <w:rFonts w:ascii="Calibri" w:hAnsi="Calibri" w:cs="Calibri"/>
        </w:rPr>
        <w:t>s</w:t>
      </w:r>
      <w:r w:rsidR="00330CBE" w:rsidRPr="00330CBE">
        <w:rPr>
          <w:rFonts w:ascii="Calibri" w:hAnsi="Calibri" w:cs="Calibri"/>
        </w:rPr>
        <w:t xml:space="preserve"> made significant progress to reduce both recognition and registration timelines throughout 2024.  </w:t>
      </w:r>
    </w:p>
    <w:p w14:paraId="5BB15BF4" w14:textId="77777777" w:rsidR="00330CBE" w:rsidRPr="00330CBE" w:rsidRDefault="00330CBE" w:rsidP="002A5798">
      <w:pPr>
        <w:rPr>
          <w:rFonts w:ascii="Calibri" w:hAnsi="Calibri" w:cs="Calibri"/>
        </w:rPr>
      </w:pPr>
    </w:p>
    <w:p w14:paraId="27F2F631" w14:textId="2C2EF817" w:rsidR="00330CBE" w:rsidRPr="00330CBE" w:rsidRDefault="007F77E4" w:rsidP="007F77E4">
      <w:pPr>
        <w:rPr>
          <w:rFonts w:ascii="Calibri" w:hAnsi="Calibri" w:cs="Calibri"/>
        </w:rPr>
      </w:pPr>
      <w:r w:rsidRPr="00330CBE">
        <w:rPr>
          <w:rFonts w:ascii="Calibri" w:hAnsi="Calibri" w:cs="Calibri"/>
        </w:rPr>
        <w:t>Regarding</w:t>
      </w:r>
      <w:r w:rsidR="00330CBE" w:rsidRPr="00330CBE">
        <w:rPr>
          <w:rFonts w:ascii="Calibri" w:hAnsi="Calibri" w:cs="Calibri"/>
        </w:rPr>
        <w:t xml:space="preserve"> the recognition of non-Irish qualifications, recognition timelines </w:t>
      </w:r>
      <w:r w:rsidR="00740075">
        <w:rPr>
          <w:rFonts w:ascii="Calibri" w:hAnsi="Calibri" w:cs="Calibri"/>
        </w:rPr>
        <w:t xml:space="preserve">from when a complete application has been received to a decision being made </w:t>
      </w:r>
      <w:r w:rsidR="00330CBE" w:rsidRPr="00330CBE">
        <w:rPr>
          <w:rFonts w:ascii="Calibri" w:hAnsi="Calibri" w:cs="Calibri"/>
        </w:rPr>
        <w:t>have significantly reduced</w:t>
      </w:r>
      <w:r w:rsidR="00740075">
        <w:rPr>
          <w:rFonts w:ascii="Calibri" w:hAnsi="Calibri" w:cs="Calibri"/>
        </w:rPr>
        <w:t xml:space="preserve"> since the start of 2024.  Statistics provided by CORU show a decrease from an average of 88 days in January to 41 days in August, with some </w:t>
      </w:r>
      <w:proofErr w:type="gramStart"/>
      <w:r w:rsidR="00740075">
        <w:rPr>
          <w:rFonts w:ascii="Calibri" w:hAnsi="Calibri" w:cs="Calibri"/>
        </w:rPr>
        <w:t>fluctuations</w:t>
      </w:r>
      <w:proofErr w:type="gramEnd"/>
      <w:r w:rsidR="00740075">
        <w:rPr>
          <w:rFonts w:ascii="Calibri" w:hAnsi="Calibri" w:cs="Calibri"/>
        </w:rPr>
        <w:t xml:space="preserve"> month to month. </w:t>
      </w:r>
      <w:r w:rsidRPr="007F77E4">
        <w:rPr>
          <w:rFonts w:ascii="Calibri" w:hAnsi="Calibri" w:cs="Calibri"/>
        </w:rPr>
        <w:t>This is despite the number of applications for recognition of non-Irish qualifications continuing to rise.</w:t>
      </w:r>
      <w:r w:rsidR="0074007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="00740075">
        <w:rPr>
          <w:rFonts w:ascii="Calibri" w:hAnsi="Calibri" w:cs="Calibri"/>
        </w:rPr>
        <w:t xml:space="preserve">A detailed breakdown by month and profession for 2024 </w:t>
      </w:r>
      <w:r>
        <w:rPr>
          <w:rFonts w:ascii="Calibri" w:hAnsi="Calibri" w:cs="Calibri"/>
        </w:rPr>
        <w:t>i</w:t>
      </w:r>
      <w:r w:rsidR="00740075">
        <w:rPr>
          <w:rFonts w:ascii="Calibri" w:hAnsi="Calibri" w:cs="Calibri"/>
        </w:rPr>
        <w:t xml:space="preserve">s provided for information purposes and </w:t>
      </w:r>
      <w:r w:rsidR="00C87019">
        <w:rPr>
          <w:rFonts w:ascii="Calibri" w:hAnsi="Calibri" w:cs="Calibri"/>
        </w:rPr>
        <w:t xml:space="preserve">is </w:t>
      </w:r>
      <w:r w:rsidR="00740075">
        <w:rPr>
          <w:rFonts w:ascii="Calibri" w:hAnsi="Calibri" w:cs="Calibri"/>
        </w:rPr>
        <w:t>be</w:t>
      </w:r>
      <w:r w:rsidR="00C87019">
        <w:rPr>
          <w:rFonts w:ascii="Calibri" w:hAnsi="Calibri" w:cs="Calibri"/>
        </w:rPr>
        <w:t>ing</w:t>
      </w:r>
      <w:r w:rsidR="00740075">
        <w:rPr>
          <w:rFonts w:ascii="Calibri" w:hAnsi="Calibri" w:cs="Calibri"/>
        </w:rPr>
        <w:t xml:space="preserve"> shared with the deputy.  </w:t>
      </w:r>
    </w:p>
    <w:p w14:paraId="507630F6" w14:textId="77777777" w:rsidR="00330CBE" w:rsidRDefault="00330CBE" w:rsidP="002A5798">
      <w:pPr>
        <w:rPr>
          <w:rFonts w:ascii="Calibri" w:hAnsi="Calibri" w:cs="Calibri"/>
        </w:rPr>
      </w:pPr>
    </w:p>
    <w:p w14:paraId="1C769E84" w14:textId="56CB75F6" w:rsidR="00136B09" w:rsidRDefault="00136B09" w:rsidP="002A579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There has also been significant improvement in </w:t>
      </w:r>
      <w:r w:rsidR="00C87019">
        <w:rPr>
          <w:rFonts w:ascii="Calibri" w:hAnsi="Calibri" w:cs="Calibri"/>
        </w:rPr>
        <w:t xml:space="preserve">average </w:t>
      </w:r>
      <w:r>
        <w:rPr>
          <w:rFonts w:ascii="Calibri" w:hAnsi="Calibri" w:cs="Calibri"/>
        </w:rPr>
        <w:t>registration timelines generally</w:t>
      </w:r>
      <w:r w:rsidR="007F77E4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with an additional 3,000 applicants added to the register between March and August</w:t>
      </w:r>
      <w:r w:rsidR="00C87019">
        <w:rPr>
          <w:rFonts w:ascii="Calibri" w:hAnsi="Calibri" w:cs="Calibri"/>
        </w:rPr>
        <w:t>.  P</w:t>
      </w:r>
      <w:r>
        <w:rPr>
          <w:rFonts w:ascii="Calibri" w:hAnsi="Calibri" w:cs="Calibri"/>
        </w:rPr>
        <w:t xml:space="preserve">rocessing times </w:t>
      </w:r>
      <w:r w:rsidR="00C87019">
        <w:rPr>
          <w:rFonts w:ascii="Calibri" w:hAnsi="Calibri" w:cs="Calibri"/>
        </w:rPr>
        <w:t xml:space="preserve">have </w:t>
      </w:r>
      <w:r>
        <w:rPr>
          <w:rFonts w:ascii="Calibri" w:hAnsi="Calibri" w:cs="Calibri"/>
        </w:rPr>
        <w:t>reduc</w:t>
      </w:r>
      <w:r w:rsidR="00C87019">
        <w:rPr>
          <w:rFonts w:ascii="Calibri" w:hAnsi="Calibri" w:cs="Calibri"/>
        </w:rPr>
        <w:t>ed</w:t>
      </w:r>
      <w:r>
        <w:rPr>
          <w:rFonts w:ascii="Calibri" w:hAnsi="Calibri" w:cs="Calibri"/>
        </w:rPr>
        <w:t xml:space="preserve"> over the same </w:t>
      </w:r>
      <w:proofErr w:type="gramStart"/>
      <w:r>
        <w:rPr>
          <w:rFonts w:ascii="Calibri" w:hAnsi="Calibri" w:cs="Calibri"/>
        </w:rPr>
        <w:t>time</w:t>
      </w:r>
      <w:r w:rsidR="007F77E4">
        <w:rPr>
          <w:rFonts w:ascii="Calibri" w:hAnsi="Calibri" w:cs="Calibri"/>
        </w:rPr>
        <w:t xml:space="preserve"> period</w:t>
      </w:r>
      <w:proofErr w:type="gramEnd"/>
      <w:r>
        <w:rPr>
          <w:rFonts w:ascii="Calibri" w:hAnsi="Calibri" w:cs="Calibri"/>
        </w:rPr>
        <w:t xml:space="preserve"> from 76 days in March to 45 days in August for all applicants.  A detailed breakdown by month and profession from March to August 2024 is also provided for the deputy’s information. </w:t>
      </w:r>
    </w:p>
    <w:p w14:paraId="18DC8924" w14:textId="77777777" w:rsidR="00136B09" w:rsidRPr="00330CBE" w:rsidRDefault="00136B09" w:rsidP="002A5798">
      <w:pPr>
        <w:rPr>
          <w:rFonts w:ascii="Calibri" w:hAnsi="Calibri" w:cs="Calibri"/>
        </w:rPr>
      </w:pPr>
    </w:p>
    <w:p w14:paraId="56CC8E7E" w14:textId="19282AEA" w:rsidR="00330CBE" w:rsidRPr="00330CBE" w:rsidRDefault="008951D8" w:rsidP="007F77E4">
      <w:pPr>
        <w:spacing w:after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These improvements are </w:t>
      </w:r>
      <w:r w:rsidR="00740075" w:rsidRPr="00740075">
        <w:rPr>
          <w:rFonts w:ascii="Calibri" w:hAnsi="Calibri" w:cs="Calibri"/>
        </w:rPr>
        <w:t xml:space="preserve">a result of </w:t>
      </w:r>
      <w:r w:rsidR="007F77E4" w:rsidRPr="00740075">
        <w:rPr>
          <w:rFonts w:ascii="Calibri" w:hAnsi="Calibri" w:cs="Calibri"/>
        </w:rPr>
        <w:t>several</w:t>
      </w:r>
      <w:r w:rsidR="00740075" w:rsidRPr="0074007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new </w:t>
      </w:r>
      <w:r w:rsidR="00740075" w:rsidRPr="00740075">
        <w:rPr>
          <w:rFonts w:ascii="Calibri" w:hAnsi="Calibri" w:cs="Calibri"/>
        </w:rPr>
        <w:t xml:space="preserve">initiatives </w:t>
      </w:r>
      <w:r w:rsidR="00010D89">
        <w:rPr>
          <w:rFonts w:ascii="Calibri" w:hAnsi="Calibri" w:cs="Calibri"/>
        </w:rPr>
        <w:t xml:space="preserve">and programmes of work </w:t>
      </w:r>
      <w:r w:rsidR="007F77E4">
        <w:rPr>
          <w:rFonts w:ascii="Calibri" w:hAnsi="Calibri" w:cs="Calibri"/>
        </w:rPr>
        <w:t xml:space="preserve">to support changes </w:t>
      </w:r>
      <w:r w:rsidR="00010D89">
        <w:rPr>
          <w:rFonts w:ascii="Calibri" w:hAnsi="Calibri" w:cs="Calibri"/>
        </w:rPr>
        <w:t xml:space="preserve">being </w:t>
      </w:r>
      <w:r w:rsidR="00740075" w:rsidRPr="00740075">
        <w:rPr>
          <w:rFonts w:ascii="Calibri" w:hAnsi="Calibri" w:cs="Calibri"/>
        </w:rPr>
        <w:t>undertaken by CORU</w:t>
      </w:r>
      <w:r w:rsidR="00010D89">
        <w:rPr>
          <w:rFonts w:ascii="Calibri" w:hAnsi="Calibri" w:cs="Calibri"/>
        </w:rPr>
        <w:t xml:space="preserve"> </w:t>
      </w:r>
      <w:r w:rsidR="00C87019">
        <w:rPr>
          <w:rFonts w:ascii="Calibri" w:hAnsi="Calibri" w:cs="Calibri"/>
        </w:rPr>
        <w:t>and</w:t>
      </w:r>
      <w:r w:rsidR="00010D8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include:</w:t>
      </w:r>
    </w:p>
    <w:p w14:paraId="11F3FB4A" w14:textId="5EEA5CB8" w:rsidR="009556B7" w:rsidRPr="009556B7" w:rsidRDefault="00C87019" w:rsidP="009556B7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The i</w:t>
      </w:r>
      <w:r w:rsidR="009556B7" w:rsidRPr="009556B7">
        <w:rPr>
          <w:rFonts w:ascii="Calibri" w:hAnsi="Calibri" w:cs="Calibri"/>
        </w:rPr>
        <w:t xml:space="preserve">ntroduction of new pathways to recognition, in particular </w:t>
      </w:r>
      <w:r w:rsidR="009556B7">
        <w:rPr>
          <w:rFonts w:ascii="Calibri" w:hAnsi="Calibri" w:cs="Calibri"/>
        </w:rPr>
        <w:t>the Frequently Seen Qualifications programme which includes both programme alignment and standards alignment</w:t>
      </w:r>
      <w:r w:rsidR="00134E83">
        <w:rPr>
          <w:rFonts w:ascii="Calibri" w:hAnsi="Calibri" w:cs="Calibri"/>
        </w:rPr>
        <w:t xml:space="preserve"> (currently in place for UK professional qualifications where standards align with those of Ireland)</w:t>
      </w:r>
      <w:r w:rsidR="009556B7">
        <w:rPr>
          <w:rFonts w:ascii="Calibri" w:hAnsi="Calibri" w:cs="Calibri"/>
        </w:rPr>
        <w:t>.  W</w:t>
      </w:r>
      <w:r w:rsidR="009556B7" w:rsidRPr="009556B7">
        <w:rPr>
          <w:rFonts w:ascii="Calibri" w:hAnsi="Calibri" w:cs="Calibri"/>
        </w:rPr>
        <w:t>hen good alignment of standards/qualifications can be confirmed</w:t>
      </w:r>
      <w:r w:rsidR="009556B7">
        <w:rPr>
          <w:rFonts w:ascii="Calibri" w:hAnsi="Calibri" w:cs="Calibri"/>
        </w:rPr>
        <w:t xml:space="preserve">, such applications do not require an individualised approach to recognition and can be ‘automatically’ recognised.  The process currently applies to </w:t>
      </w:r>
      <w:r w:rsidR="00134E83">
        <w:rPr>
          <w:rFonts w:ascii="Calibri" w:hAnsi="Calibri" w:cs="Calibri"/>
        </w:rPr>
        <w:t>those presenting with UK qualifications only but CORU hope to expand the initiative to other countries going forward.</w:t>
      </w:r>
    </w:p>
    <w:p w14:paraId="204F42E6" w14:textId="2A64B0E2" w:rsidR="00010D89" w:rsidRPr="007F77E4" w:rsidRDefault="00010D89" w:rsidP="007F77E4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Calibri" w:hAnsi="Calibri" w:cs="Calibri"/>
        </w:rPr>
      </w:pPr>
      <w:r w:rsidRPr="007F77E4">
        <w:rPr>
          <w:rFonts w:ascii="Calibri" w:hAnsi="Calibri" w:cs="Calibri"/>
        </w:rPr>
        <w:t xml:space="preserve">Improvements </w:t>
      </w:r>
      <w:r w:rsidR="00136B09" w:rsidRPr="007F77E4">
        <w:rPr>
          <w:rFonts w:ascii="Calibri" w:hAnsi="Calibri" w:cs="Calibri"/>
        </w:rPr>
        <w:t xml:space="preserve">resulting </w:t>
      </w:r>
      <w:r w:rsidRPr="007F77E4">
        <w:rPr>
          <w:rFonts w:ascii="Calibri" w:hAnsi="Calibri" w:cs="Calibri"/>
        </w:rPr>
        <w:t>from the new integrated application/registrant system</w:t>
      </w:r>
      <w:r w:rsidR="007F77E4" w:rsidRPr="007F77E4">
        <w:rPr>
          <w:rFonts w:ascii="Calibri" w:hAnsi="Calibri" w:cs="Calibri"/>
        </w:rPr>
        <w:t xml:space="preserve"> (currently in place for social care workers only but roll out for all professions expected by end-November</w:t>
      </w:r>
      <w:r w:rsidR="00C87019">
        <w:rPr>
          <w:rFonts w:ascii="Calibri" w:hAnsi="Calibri" w:cs="Calibri"/>
        </w:rPr>
        <w:t>).</w:t>
      </w:r>
    </w:p>
    <w:p w14:paraId="609A6B0C" w14:textId="029BE098" w:rsidR="008951D8" w:rsidRPr="007F77E4" w:rsidRDefault="00010D89" w:rsidP="007F77E4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Calibri" w:hAnsi="Calibri" w:cs="Calibri"/>
        </w:rPr>
      </w:pPr>
      <w:r w:rsidRPr="007F77E4">
        <w:rPr>
          <w:rFonts w:ascii="Calibri" w:hAnsi="Calibri" w:cs="Calibri"/>
        </w:rPr>
        <w:t>Delegation of low-risk decisions to the registrar</w:t>
      </w:r>
      <w:r w:rsidR="007F77E4">
        <w:rPr>
          <w:rFonts w:ascii="Calibri" w:hAnsi="Calibri" w:cs="Calibri"/>
        </w:rPr>
        <w:t xml:space="preserve"> which </w:t>
      </w:r>
      <w:r w:rsidR="009556B7">
        <w:rPr>
          <w:rFonts w:ascii="Calibri" w:hAnsi="Calibri" w:cs="Calibri"/>
        </w:rPr>
        <w:t xml:space="preserve">significantly </w:t>
      </w:r>
      <w:r w:rsidR="007F77E4">
        <w:rPr>
          <w:rFonts w:ascii="Calibri" w:hAnsi="Calibri" w:cs="Calibri"/>
        </w:rPr>
        <w:t>reduce</w:t>
      </w:r>
      <w:r w:rsidR="009556B7">
        <w:rPr>
          <w:rFonts w:ascii="Calibri" w:hAnsi="Calibri" w:cs="Calibri"/>
        </w:rPr>
        <w:t>s</w:t>
      </w:r>
      <w:r w:rsidR="007F77E4">
        <w:rPr>
          <w:rFonts w:ascii="Calibri" w:hAnsi="Calibri" w:cs="Calibri"/>
        </w:rPr>
        <w:t xml:space="preserve"> the time</w:t>
      </w:r>
      <w:r w:rsidR="00C87019">
        <w:rPr>
          <w:rFonts w:ascii="Calibri" w:hAnsi="Calibri" w:cs="Calibri"/>
        </w:rPr>
        <w:t>line</w:t>
      </w:r>
      <w:r w:rsidR="007F77E4">
        <w:rPr>
          <w:rFonts w:ascii="Calibri" w:hAnsi="Calibri" w:cs="Calibri"/>
        </w:rPr>
        <w:t xml:space="preserve"> </w:t>
      </w:r>
      <w:r w:rsidR="00C87019">
        <w:rPr>
          <w:rFonts w:ascii="Calibri" w:hAnsi="Calibri" w:cs="Calibri"/>
        </w:rPr>
        <w:t xml:space="preserve">for recognition applications </w:t>
      </w:r>
      <w:r w:rsidR="007F77E4">
        <w:rPr>
          <w:rFonts w:ascii="Calibri" w:hAnsi="Calibri" w:cs="Calibri"/>
        </w:rPr>
        <w:t xml:space="preserve">from </w:t>
      </w:r>
      <w:r w:rsidR="00C87019">
        <w:rPr>
          <w:rFonts w:ascii="Calibri" w:hAnsi="Calibri" w:cs="Calibri"/>
        </w:rPr>
        <w:t xml:space="preserve">a complete </w:t>
      </w:r>
      <w:r w:rsidR="007F77E4">
        <w:rPr>
          <w:rFonts w:ascii="Calibri" w:hAnsi="Calibri" w:cs="Calibri"/>
        </w:rPr>
        <w:t xml:space="preserve">file </w:t>
      </w:r>
      <w:r w:rsidR="00C87019">
        <w:rPr>
          <w:rFonts w:ascii="Calibri" w:hAnsi="Calibri" w:cs="Calibri"/>
        </w:rPr>
        <w:t xml:space="preserve">being received </w:t>
      </w:r>
      <w:r w:rsidR="009556B7">
        <w:rPr>
          <w:rFonts w:ascii="Calibri" w:hAnsi="Calibri" w:cs="Calibri"/>
        </w:rPr>
        <w:t xml:space="preserve">to </w:t>
      </w:r>
      <w:r w:rsidR="00C87019">
        <w:rPr>
          <w:rFonts w:ascii="Calibri" w:hAnsi="Calibri" w:cs="Calibri"/>
        </w:rPr>
        <w:t xml:space="preserve">a </w:t>
      </w:r>
      <w:r w:rsidR="009556B7">
        <w:rPr>
          <w:rFonts w:ascii="Calibri" w:hAnsi="Calibri" w:cs="Calibri"/>
        </w:rPr>
        <w:t xml:space="preserve">final </w:t>
      </w:r>
      <w:r w:rsidR="00C87019">
        <w:rPr>
          <w:rFonts w:ascii="Calibri" w:hAnsi="Calibri" w:cs="Calibri"/>
        </w:rPr>
        <w:t xml:space="preserve">recognition </w:t>
      </w:r>
      <w:r w:rsidR="009556B7">
        <w:rPr>
          <w:rFonts w:ascii="Calibri" w:hAnsi="Calibri" w:cs="Calibri"/>
        </w:rPr>
        <w:t>decision</w:t>
      </w:r>
      <w:r w:rsidR="00C87019">
        <w:rPr>
          <w:rFonts w:ascii="Calibri" w:hAnsi="Calibri" w:cs="Calibri"/>
        </w:rPr>
        <w:t>.</w:t>
      </w:r>
    </w:p>
    <w:p w14:paraId="2E8A9A94" w14:textId="298D5CB9" w:rsidR="00010D89" w:rsidRPr="007F77E4" w:rsidRDefault="00010D89" w:rsidP="007F77E4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Calibri" w:hAnsi="Calibri" w:cs="Calibri"/>
        </w:rPr>
      </w:pPr>
      <w:r w:rsidRPr="007F77E4">
        <w:rPr>
          <w:rFonts w:ascii="Calibri" w:hAnsi="Calibri" w:cs="Calibri"/>
        </w:rPr>
        <w:t>Improved engagement with stakeholders</w:t>
      </w:r>
      <w:r w:rsidR="00C87019">
        <w:rPr>
          <w:rFonts w:ascii="Calibri" w:hAnsi="Calibri" w:cs="Calibri"/>
        </w:rPr>
        <w:t>,</w:t>
      </w:r>
      <w:r w:rsidR="009556B7">
        <w:rPr>
          <w:rFonts w:ascii="Calibri" w:hAnsi="Calibri" w:cs="Calibri"/>
        </w:rPr>
        <w:t xml:space="preserve"> including improve</w:t>
      </w:r>
      <w:r w:rsidR="00C87019">
        <w:rPr>
          <w:rFonts w:ascii="Calibri" w:hAnsi="Calibri" w:cs="Calibri"/>
        </w:rPr>
        <w:t>d</w:t>
      </w:r>
      <w:r w:rsidR="009556B7">
        <w:rPr>
          <w:rFonts w:ascii="Calibri" w:hAnsi="Calibri" w:cs="Calibri"/>
        </w:rPr>
        <w:t xml:space="preserve"> guidance </w:t>
      </w:r>
      <w:r w:rsidR="00C87019">
        <w:rPr>
          <w:rFonts w:ascii="Calibri" w:hAnsi="Calibri" w:cs="Calibri"/>
        </w:rPr>
        <w:t xml:space="preserve">material </w:t>
      </w:r>
      <w:r w:rsidR="009556B7">
        <w:rPr>
          <w:rFonts w:ascii="Calibri" w:hAnsi="Calibri" w:cs="Calibri"/>
        </w:rPr>
        <w:t>and simplification of document requirements</w:t>
      </w:r>
      <w:r w:rsidR="00C87019">
        <w:rPr>
          <w:rFonts w:ascii="Calibri" w:hAnsi="Calibri" w:cs="Calibri"/>
        </w:rPr>
        <w:t>.</w:t>
      </w:r>
    </w:p>
    <w:p w14:paraId="5EDC7F5E" w14:textId="1C3D06ED" w:rsidR="00010D89" w:rsidRPr="007F77E4" w:rsidRDefault="00010D89" w:rsidP="007F77E4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  <w:rPr>
          <w:rFonts w:ascii="Calibri" w:hAnsi="Calibri" w:cs="Calibri"/>
        </w:rPr>
      </w:pPr>
      <w:r w:rsidRPr="007F77E4">
        <w:rPr>
          <w:rFonts w:ascii="Calibri" w:hAnsi="Calibri" w:cs="Calibri"/>
        </w:rPr>
        <w:t xml:space="preserve">New training and procedures integration </w:t>
      </w:r>
      <w:r w:rsidR="00136B09" w:rsidRPr="007F77E4">
        <w:rPr>
          <w:rFonts w:ascii="Calibri" w:hAnsi="Calibri" w:cs="Calibri"/>
        </w:rPr>
        <w:t>for assessors of applications, board members and the CORU recognition team</w:t>
      </w:r>
      <w:r w:rsidR="00C87019">
        <w:rPr>
          <w:rFonts w:ascii="Calibri" w:hAnsi="Calibri" w:cs="Calibri"/>
        </w:rPr>
        <w:t>.</w:t>
      </w:r>
    </w:p>
    <w:p w14:paraId="51380968" w14:textId="678A610E" w:rsidR="008951D8" w:rsidRPr="008951D8" w:rsidRDefault="008951D8" w:rsidP="008951D8">
      <w:pPr>
        <w:spacing w:after="120"/>
        <w:rPr>
          <w:rFonts w:ascii="Calibri" w:hAnsi="Calibri" w:cs="Calibri"/>
          <w:b/>
          <w:bCs/>
        </w:rPr>
      </w:pPr>
      <w:r w:rsidRPr="008951D8">
        <w:rPr>
          <w:rFonts w:ascii="Calibri" w:hAnsi="Calibri" w:cs="Calibri"/>
          <w:b/>
          <w:bCs/>
        </w:rPr>
        <w:lastRenderedPageBreak/>
        <w:t>Statistical information for the deputy</w:t>
      </w:r>
    </w:p>
    <w:p w14:paraId="774EEC64" w14:textId="6F900644" w:rsidR="008951D8" w:rsidRPr="008951D8" w:rsidRDefault="008951D8" w:rsidP="008951D8">
      <w:pPr>
        <w:spacing w:after="120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Recognition t</w:t>
      </w:r>
      <w:r w:rsidRPr="008951D8">
        <w:rPr>
          <w:rFonts w:ascii="Calibri" w:hAnsi="Calibri" w:cs="Calibri"/>
          <w:b/>
          <w:bCs/>
          <w:u w:val="single"/>
        </w:rPr>
        <w:t>imeframe from file complete to decision (based on 1st decisions made Jan to August)</w:t>
      </w:r>
    </w:p>
    <w:tbl>
      <w:tblPr>
        <w:tblW w:w="9335" w:type="dxa"/>
        <w:tblInd w:w="108" w:type="dxa"/>
        <w:tblLook w:val="04A0" w:firstRow="1" w:lastRow="0" w:firstColumn="1" w:lastColumn="0" w:noHBand="0" w:noVBand="1"/>
      </w:tblPr>
      <w:tblGrid>
        <w:gridCol w:w="2127"/>
        <w:gridCol w:w="850"/>
        <w:gridCol w:w="851"/>
        <w:gridCol w:w="850"/>
        <w:gridCol w:w="851"/>
        <w:gridCol w:w="708"/>
        <w:gridCol w:w="709"/>
        <w:gridCol w:w="709"/>
        <w:gridCol w:w="767"/>
        <w:gridCol w:w="913"/>
      </w:tblGrid>
      <w:tr w:rsidR="008951D8" w:rsidRPr="008951D8" w14:paraId="30B58335" w14:textId="77777777" w:rsidTr="00BA0DBE">
        <w:trPr>
          <w:trHeight w:val="285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BCF4" w14:textId="77777777" w:rsidR="008951D8" w:rsidRPr="008951D8" w:rsidRDefault="008951D8" w:rsidP="008951D8">
            <w:pPr>
              <w:rPr>
                <w:rFonts w:ascii="Calibri" w:hAnsi="Calibri" w:cs="Calibri"/>
                <w:b/>
                <w:bCs/>
              </w:rPr>
            </w:pPr>
            <w:r w:rsidRPr="008951D8">
              <w:rPr>
                <w:rFonts w:ascii="Calibri" w:hAnsi="Calibri" w:cs="Calibri"/>
                <w:b/>
                <w:bCs/>
              </w:rPr>
              <w:t>Average days FC to decision Jan-August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A39A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FEF2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6601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F0E7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C521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5C87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</w:p>
        </w:tc>
      </w:tr>
      <w:tr w:rsidR="008951D8" w:rsidRPr="008951D8" w14:paraId="78EC7F16" w14:textId="77777777" w:rsidTr="00BA0DBE">
        <w:trPr>
          <w:trHeight w:val="28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4BC4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Profession/Month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26AEF" w14:textId="05F09E1D" w:rsidR="008951D8" w:rsidRPr="008951D8" w:rsidRDefault="008951D8" w:rsidP="008951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064D" w14:textId="5C546F57" w:rsidR="008951D8" w:rsidRPr="008951D8" w:rsidRDefault="008951D8" w:rsidP="008951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89A5" w14:textId="26FBB8E7" w:rsidR="008951D8" w:rsidRPr="008951D8" w:rsidRDefault="008951D8" w:rsidP="008951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63CD" w14:textId="56E30BB2" w:rsidR="008951D8" w:rsidRPr="008951D8" w:rsidRDefault="008951D8" w:rsidP="008951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Apr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94F77" w14:textId="1FC0233C" w:rsidR="008951D8" w:rsidRPr="008951D8" w:rsidRDefault="008951D8" w:rsidP="008951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7792" w14:textId="13FE893A" w:rsidR="008951D8" w:rsidRPr="008951D8" w:rsidRDefault="008951D8" w:rsidP="008951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Jun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A26BC" w14:textId="061384B0" w:rsidR="008951D8" w:rsidRPr="008951D8" w:rsidRDefault="008951D8" w:rsidP="008951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Jul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B62B" w14:textId="3CC151DE" w:rsidR="008951D8" w:rsidRPr="008951D8" w:rsidRDefault="008951D8" w:rsidP="008951D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Aug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5481E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Overall</w:t>
            </w:r>
          </w:p>
        </w:tc>
      </w:tr>
      <w:tr w:rsidR="008951D8" w:rsidRPr="008951D8" w14:paraId="03D19295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672E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Dietitians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10A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70.0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82D5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F1E2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79.0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3009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63.3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A74F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55.5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3399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47.8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73B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70.8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D694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49.9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B918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58.8</w:t>
            </w:r>
          </w:p>
        </w:tc>
      </w:tr>
      <w:tr w:rsidR="008951D8" w:rsidRPr="008951D8" w14:paraId="69E8CDE1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0ED6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Dispensing Opticians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DDC4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809E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D141F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EA96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6A1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AA68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49C0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08DF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58.0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F661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58.0</w:t>
            </w:r>
          </w:p>
        </w:tc>
      </w:tr>
      <w:tr w:rsidR="008951D8" w:rsidRPr="008951D8" w14:paraId="3DFB14F4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1BD0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Medical Scientist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C3B1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105.9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41EF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130.9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1F20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160.1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FC65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129.0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58C80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82.8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F439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90.5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13D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95.4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C101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102.0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1449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114.7</w:t>
            </w:r>
          </w:p>
        </w:tc>
      </w:tr>
      <w:tr w:rsidR="008951D8" w:rsidRPr="008951D8" w14:paraId="7125AEB8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A5B6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Occupational Therapist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257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60.2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F53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1448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67.7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D005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54.2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1CB1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9A14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38.3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BAB2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28.1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18CE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10.2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5E05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39.7</w:t>
            </w:r>
          </w:p>
        </w:tc>
      </w:tr>
      <w:tr w:rsidR="008951D8" w:rsidRPr="008951D8" w14:paraId="139B2ECE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BEEE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Optometrists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947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E6C0E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97.4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3D9C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124.0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727F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55.7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5066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1FD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2DB5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40.0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8373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79.0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8EA6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77.5</w:t>
            </w:r>
          </w:p>
        </w:tc>
      </w:tr>
      <w:tr w:rsidR="008951D8" w:rsidRPr="008951D8" w14:paraId="34BE8DCB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F46AA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Physiotherapist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B995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101.3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4A18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98.9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40B4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93.4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05E5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109.0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E71F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97.7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94A8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73.5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EFBC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69.1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DF0E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40.1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FB2C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69.2</w:t>
            </w:r>
          </w:p>
        </w:tc>
      </w:tr>
      <w:tr w:rsidR="008951D8" w:rsidRPr="008951D8" w14:paraId="16DF1C6B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712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Podiatrist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8951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21.0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A437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D03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40.0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6A2F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657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63.0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D5323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B40AE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34.0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1A52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56.0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7DBA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42.8</w:t>
            </w:r>
          </w:p>
        </w:tc>
      </w:tr>
      <w:tr w:rsidR="008951D8" w:rsidRPr="008951D8" w14:paraId="28E69E26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F22B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Radiation Therapist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FF10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DF6E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69.0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57E6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D03B2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75.0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A825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48.0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5D2C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35.8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30A3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50.0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93EA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27.3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4269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48.9</w:t>
            </w:r>
          </w:p>
        </w:tc>
      </w:tr>
      <w:tr w:rsidR="008951D8" w:rsidRPr="008951D8" w14:paraId="7C598CA8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CFC7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Radiographer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8D311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89.7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21D9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67.4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403F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967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77.3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1EF0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54.2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BBC0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39.5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7111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48.2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7B7C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37.4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0384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55.7</w:t>
            </w:r>
          </w:p>
        </w:tc>
      </w:tr>
      <w:tr w:rsidR="008951D8" w:rsidRPr="008951D8" w14:paraId="76479B58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0198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Social Worker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E1BC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92.5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C802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86.0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BEFA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7D3F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72.8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C09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62.4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2213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65.8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00FA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67.2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5B00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51.0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E34B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69.7</w:t>
            </w:r>
          </w:p>
        </w:tc>
      </w:tr>
      <w:tr w:rsidR="008951D8" w:rsidRPr="008951D8" w14:paraId="51EAA451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7CC6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Speech Therapist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90DF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92.0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85C9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7ADC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96.3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3A17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5AF9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57.0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DB65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52.0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A2D6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56.3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A9DC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70.1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F26A6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71.4</w:t>
            </w:r>
          </w:p>
        </w:tc>
      </w:tr>
      <w:tr w:rsidR="008951D8" w:rsidRPr="008951D8" w14:paraId="5E37FF04" w14:textId="77777777" w:rsidTr="00BA0DBE">
        <w:trPr>
          <w:trHeight w:val="2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947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 xml:space="preserve">Overall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49D1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87.9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988F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91.1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AAA6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102.7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7028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70.0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7DCE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69.7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286C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59.6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6FE1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58.0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F0DD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41.2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93E4E" w14:textId="77777777" w:rsidR="008951D8" w:rsidRPr="008951D8" w:rsidRDefault="008951D8" w:rsidP="008951D8">
            <w:pPr>
              <w:rPr>
                <w:rFonts w:ascii="Calibri" w:hAnsi="Calibri" w:cs="Calibri"/>
              </w:rPr>
            </w:pPr>
            <w:r w:rsidRPr="008951D8">
              <w:rPr>
                <w:rFonts w:ascii="Calibri" w:hAnsi="Calibri" w:cs="Calibri"/>
              </w:rPr>
              <w:t>64.9</w:t>
            </w:r>
          </w:p>
        </w:tc>
      </w:tr>
    </w:tbl>
    <w:p w14:paraId="253F1DA3" w14:textId="77777777" w:rsidR="008951D8" w:rsidRPr="008951D8" w:rsidRDefault="008951D8" w:rsidP="008951D8">
      <w:pPr>
        <w:rPr>
          <w:rFonts w:ascii="Calibri" w:hAnsi="Calibri" w:cs="Calibri"/>
        </w:rPr>
      </w:pPr>
    </w:p>
    <w:p w14:paraId="1D48E242" w14:textId="3DB5AD62" w:rsidR="008951D8" w:rsidRPr="008951D8" w:rsidRDefault="008951D8" w:rsidP="008951D8">
      <w:pPr>
        <w:widowControl w:val="0"/>
        <w:autoSpaceDE w:val="0"/>
        <w:autoSpaceDN w:val="0"/>
        <w:spacing w:after="120" w:line="252" w:lineRule="auto"/>
        <w:ind w:left="119" w:right="352" w:hanging="119"/>
        <w:rPr>
          <w:rFonts w:ascii="Arial" w:eastAsia="Arial" w:hAnsi="Arial" w:cs="Arial"/>
          <w:b/>
          <w:bCs/>
          <w:kern w:val="0"/>
          <w14:ligatures w14:val="none"/>
        </w:rPr>
      </w:pPr>
      <w:r w:rsidRPr="008951D8">
        <w:rPr>
          <w:rFonts w:ascii="Arial" w:eastAsia="Arial" w:hAnsi="Arial" w:cs="Arial"/>
          <w:b/>
          <w:bCs/>
          <w:kern w:val="0"/>
          <w14:ligatures w14:val="none"/>
        </w:rPr>
        <w:t xml:space="preserve">Volume of </w:t>
      </w:r>
      <w:r>
        <w:rPr>
          <w:rFonts w:ascii="Arial" w:eastAsia="Arial" w:hAnsi="Arial" w:cs="Arial"/>
          <w:b/>
          <w:bCs/>
          <w:kern w:val="0"/>
          <w14:ligatures w14:val="none"/>
        </w:rPr>
        <w:t>recognition d</w:t>
      </w:r>
      <w:r w:rsidRPr="008951D8">
        <w:rPr>
          <w:rFonts w:ascii="Arial" w:eastAsia="Arial" w:hAnsi="Arial" w:cs="Arial"/>
          <w:b/>
          <w:bCs/>
          <w:kern w:val="0"/>
          <w14:ligatures w14:val="none"/>
        </w:rPr>
        <w:t xml:space="preserve">ecisions vs </w:t>
      </w:r>
      <w:r>
        <w:rPr>
          <w:rFonts w:ascii="Arial" w:eastAsia="Arial" w:hAnsi="Arial" w:cs="Arial"/>
          <w:b/>
          <w:bCs/>
          <w:kern w:val="0"/>
          <w14:ligatures w14:val="none"/>
        </w:rPr>
        <w:t>t</w:t>
      </w:r>
      <w:r w:rsidRPr="008951D8">
        <w:rPr>
          <w:rFonts w:ascii="Arial" w:eastAsia="Arial" w:hAnsi="Arial" w:cs="Arial"/>
          <w:b/>
          <w:bCs/>
          <w:kern w:val="0"/>
          <w14:ligatures w14:val="none"/>
        </w:rPr>
        <w:t xml:space="preserve">imeframes per </w:t>
      </w:r>
      <w:proofErr w:type="spellStart"/>
      <w:r w:rsidRPr="008951D8">
        <w:rPr>
          <w:rFonts w:ascii="Arial" w:eastAsia="Arial" w:hAnsi="Arial" w:cs="Arial"/>
          <w:b/>
          <w:bCs/>
          <w:kern w:val="0"/>
          <w14:ligatures w14:val="none"/>
        </w:rPr>
        <w:t>Qtr</w:t>
      </w:r>
      <w:proofErr w:type="spellEnd"/>
      <w:r w:rsidRPr="008951D8">
        <w:rPr>
          <w:rFonts w:ascii="Arial" w:eastAsia="Arial" w:hAnsi="Arial" w:cs="Arial"/>
          <w:b/>
          <w:bCs/>
          <w:kern w:val="0"/>
          <w14:ligatures w14:val="none"/>
        </w:rPr>
        <w:t xml:space="preserve"> Q1 2019 to mid Q3 2024</w:t>
      </w:r>
    </w:p>
    <w:p w14:paraId="101CAE29" w14:textId="77777777" w:rsidR="008951D8" w:rsidRPr="008951D8" w:rsidRDefault="008951D8" w:rsidP="008951D8">
      <w:pPr>
        <w:widowControl w:val="0"/>
        <w:autoSpaceDE w:val="0"/>
        <w:autoSpaceDN w:val="0"/>
        <w:spacing w:before="170" w:line="252" w:lineRule="auto"/>
        <w:ind w:left="120" w:right="352"/>
        <w:rPr>
          <w:rFonts w:ascii="Arial" w:eastAsia="Arial" w:hAnsi="Arial" w:cs="Arial"/>
          <w:kern w:val="0"/>
          <w:u w:val="single"/>
          <w14:ligatures w14:val="none"/>
        </w:rPr>
      </w:pPr>
      <w:r w:rsidRPr="008951D8">
        <w:rPr>
          <w:rFonts w:ascii="Arial" w:eastAsia="Arial" w:hAnsi="Arial" w:cs="Arial"/>
          <w:noProof/>
          <w:kern w:val="0"/>
          <w:lang w:eastAsia="en-IE"/>
          <w14:ligatures w14:val="none"/>
        </w:rPr>
        <w:drawing>
          <wp:inline distT="0" distB="0" distL="0" distR="0" wp14:anchorId="7981ED82" wp14:editId="088195EE">
            <wp:extent cx="5953125" cy="4810125"/>
            <wp:effectExtent l="0" t="0" r="0" b="0"/>
            <wp:docPr id="8292641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D18B4F3-A129-131E-F570-692880DB56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7520681" w14:textId="77777777" w:rsidR="008951D8" w:rsidRPr="008951D8" w:rsidRDefault="008951D8" w:rsidP="008951D8">
      <w:pPr>
        <w:widowControl w:val="0"/>
        <w:autoSpaceDE w:val="0"/>
        <w:autoSpaceDN w:val="0"/>
        <w:spacing w:line="252" w:lineRule="auto"/>
        <w:ind w:left="120" w:right="352" w:hanging="119"/>
        <w:rPr>
          <w:rFonts w:ascii="Arial" w:eastAsia="Arial" w:hAnsi="Arial" w:cs="Arial"/>
          <w:kern w:val="0"/>
          <w:u w:val="single"/>
          <w14:ligatures w14:val="none"/>
        </w:rPr>
      </w:pPr>
    </w:p>
    <w:p w14:paraId="60D051C3" w14:textId="77777777" w:rsidR="008951D8" w:rsidRPr="008951D8" w:rsidRDefault="008951D8" w:rsidP="008951D8">
      <w:pPr>
        <w:widowControl w:val="0"/>
        <w:autoSpaceDE w:val="0"/>
        <w:autoSpaceDN w:val="0"/>
        <w:spacing w:after="120" w:line="252" w:lineRule="auto"/>
        <w:ind w:left="119" w:right="352" w:hanging="119"/>
        <w:rPr>
          <w:rFonts w:ascii="Arial" w:eastAsia="Arial" w:hAnsi="Arial" w:cs="Arial"/>
          <w:kern w:val="0"/>
          <w:sz w:val="18"/>
          <w:szCs w:val="18"/>
          <w:u w:val="single"/>
          <w14:ligatures w14:val="none"/>
        </w:rPr>
      </w:pPr>
      <w:r w:rsidRPr="008951D8">
        <w:rPr>
          <w:rFonts w:ascii="Arial" w:eastAsia="Arial" w:hAnsi="Arial" w:cs="Arial"/>
          <w:kern w:val="0"/>
          <w:sz w:val="18"/>
          <w:szCs w:val="18"/>
          <w:u w:val="single"/>
          <w14:ligatures w14:val="none"/>
        </w:rPr>
        <w:t>Series 1 (mauve columns) = number of decisions per quarter</w:t>
      </w:r>
    </w:p>
    <w:p w14:paraId="32DD89F2" w14:textId="77777777" w:rsidR="008951D8" w:rsidRPr="008951D8" w:rsidRDefault="008951D8" w:rsidP="008951D8">
      <w:pPr>
        <w:widowControl w:val="0"/>
        <w:autoSpaceDE w:val="0"/>
        <w:autoSpaceDN w:val="0"/>
        <w:spacing w:line="252" w:lineRule="auto"/>
        <w:ind w:left="120" w:right="352" w:hanging="119"/>
        <w:rPr>
          <w:rFonts w:ascii="Arial" w:eastAsia="Arial" w:hAnsi="Arial" w:cs="Arial"/>
          <w:kern w:val="0"/>
          <w:sz w:val="18"/>
          <w:szCs w:val="18"/>
          <w:u w:val="single"/>
          <w14:ligatures w14:val="none"/>
        </w:rPr>
      </w:pPr>
      <w:r w:rsidRPr="008951D8">
        <w:rPr>
          <w:rFonts w:ascii="Arial" w:eastAsia="Arial" w:hAnsi="Arial" w:cs="Arial"/>
          <w:kern w:val="0"/>
          <w:sz w:val="18"/>
          <w:szCs w:val="18"/>
          <w:u w:val="single"/>
          <w14:ligatures w14:val="none"/>
        </w:rPr>
        <w:t>Series 2: (green line) = average days from file complete to decision per quarter</w:t>
      </w:r>
    </w:p>
    <w:p w14:paraId="7801D629" w14:textId="77777777" w:rsidR="008951D8" w:rsidRDefault="008951D8" w:rsidP="008951D8">
      <w:pPr>
        <w:widowControl w:val="0"/>
        <w:autoSpaceDE w:val="0"/>
        <w:autoSpaceDN w:val="0"/>
        <w:spacing w:line="240" w:lineRule="auto"/>
        <w:ind w:hanging="119"/>
        <w:jc w:val="both"/>
        <w:rPr>
          <w:rFonts w:ascii="Arial" w:eastAsia="Arial" w:hAnsi="Arial" w:cs="Arial"/>
          <w:kern w:val="0"/>
          <w14:ligatures w14:val="none"/>
        </w:rPr>
      </w:pPr>
    </w:p>
    <w:p w14:paraId="33EDBF0A" w14:textId="77777777" w:rsidR="007F77E4" w:rsidRPr="00C87019" w:rsidRDefault="007F77E4" w:rsidP="007F77E4">
      <w:pPr>
        <w:widowControl w:val="0"/>
        <w:autoSpaceDE w:val="0"/>
        <w:autoSpaceDN w:val="0"/>
        <w:spacing w:line="240" w:lineRule="auto"/>
        <w:ind w:hanging="119"/>
        <w:jc w:val="both"/>
        <w:rPr>
          <w:rFonts w:ascii="Arial" w:eastAsia="Arial" w:hAnsi="Arial" w:cs="Arial"/>
          <w:b/>
          <w:bCs/>
          <w:kern w:val="0"/>
          <w:sz w:val="24"/>
          <w:szCs w:val="24"/>
          <w14:ligatures w14:val="none"/>
        </w:rPr>
      </w:pPr>
      <w:r w:rsidRPr="00C87019">
        <w:rPr>
          <w:rFonts w:ascii="Arial" w:eastAsia="Arial" w:hAnsi="Arial" w:cs="Arial"/>
          <w:b/>
          <w:bCs/>
          <w:kern w:val="0"/>
          <w:sz w:val="24"/>
          <w:szCs w:val="24"/>
          <w14:ligatures w14:val="none"/>
        </w:rPr>
        <w:t>Registration processing times by profession</w:t>
      </w:r>
    </w:p>
    <w:p w14:paraId="00063826" w14:textId="0AAD42F1" w:rsidR="008951D8" w:rsidRPr="00330CBE" w:rsidRDefault="007F77E4" w:rsidP="007F77E4">
      <w:pPr>
        <w:widowControl w:val="0"/>
        <w:autoSpaceDE w:val="0"/>
        <w:autoSpaceDN w:val="0"/>
        <w:spacing w:line="240" w:lineRule="auto"/>
        <w:ind w:hanging="119"/>
        <w:jc w:val="both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4D194EBB" wp14:editId="4E2CC470">
            <wp:extent cx="5731510" cy="3961130"/>
            <wp:effectExtent l="0" t="0" r="2540" b="1270"/>
            <wp:docPr id="1983851352" name="Picture 1" descr="A table with number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851352" name="Picture 1" descr="A table with numbers and letters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51D8" w:rsidRPr="00330C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7C5801"/>
    <w:multiLevelType w:val="hybridMultilevel"/>
    <w:tmpl w:val="E304CC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975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798"/>
    <w:rsid w:val="00010D89"/>
    <w:rsid w:val="0004210E"/>
    <w:rsid w:val="000C2C71"/>
    <w:rsid w:val="00134E83"/>
    <w:rsid w:val="00136B09"/>
    <w:rsid w:val="002A5798"/>
    <w:rsid w:val="00330CBE"/>
    <w:rsid w:val="0051237D"/>
    <w:rsid w:val="005D394C"/>
    <w:rsid w:val="006E5CA0"/>
    <w:rsid w:val="00740075"/>
    <w:rsid w:val="007F77E4"/>
    <w:rsid w:val="0081735C"/>
    <w:rsid w:val="008951D8"/>
    <w:rsid w:val="009556B7"/>
    <w:rsid w:val="009F6598"/>
    <w:rsid w:val="00A25BAC"/>
    <w:rsid w:val="00A32D54"/>
    <w:rsid w:val="00C00A40"/>
    <w:rsid w:val="00C87019"/>
    <w:rsid w:val="00F02A9C"/>
    <w:rsid w:val="00FE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D5EAA"/>
  <w15:chartTrackingRefBased/>
  <w15:docId w15:val="{CB106556-66FA-4284-9F21-B9B76415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7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7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7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7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7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7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7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7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7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7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7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7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7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7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7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7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7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30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9481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79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0357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081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file-server01\documentation\Competent%20Authority\Draft%20Recognition%20Folder\30.%20Programme%20Development\9.%20Profiles,%20stats%20and%20data%20supports%20for%20RBs\Miscellaneous\2018%20-%202024%20(Q1)%20Average%20Days%20to%20Decision%20by%20Quarter%20Graph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IE" sz="16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</a:rPr>
              <a:t>Average Days to Decision by Quarter</a:t>
            </a:r>
          </a:p>
          <a:p>
            <a:pPr>
              <a:defRPr/>
            </a:pPr>
            <a:r>
              <a:rPr lang="en-IE" sz="16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</a:rPr>
              <a:t>showing N decisions per Quarter </a:t>
            </a:r>
          </a:p>
          <a:p>
            <a:pPr>
              <a:defRPr/>
            </a:pPr>
            <a:r>
              <a:rPr lang="en-IE" sz="16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</a:rPr>
              <a:t>(first decisions)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8538597307951223E-2"/>
          <c:y val="0.1367866974586221"/>
          <c:w val="0.85358134331569213"/>
          <c:h val="0.70991067071177683"/>
        </c:manualLayout>
      </c:layout>
      <c:barChart>
        <c:barDir val="col"/>
        <c:grouping val="clustered"/>
        <c:varyColors val="0"/>
        <c:ser>
          <c:idx val="1"/>
          <c:order val="1"/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'FC to Decision Data'!$G$13:$G$35</c:f>
              <c:strCache>
                <c:ptCount val="23"/>
                <c:pt idx="0">
                  <c:v>2019_1</c:v>
                </c:pt>
                <c:pt idx="1">
                  <c:v>2019_2</c:v>
                </c:pt>
                <c:pt idx="2">
                  <c:v>2019_3</c:v>
                </c:pt>
                <c:pt idx="3">
                  <c:v>2019_4</c:v>
                </c:pt>
                <c:pt idx="4">
                  <c:v>2020_1</c:v>
                </c:pt>
                <c:pt idx="5">
                  <c:v>2020_2</c:v>
                </c:pt>
                <c:pt idx="6">
                  <c:v>2020_3</c:v>
                </c:pt>
                <c:pt idx="7">
                  <c:v>2020_4</c:v>
                </c:pt>
                <c:pt idx="8">
                  <c:v>2021_1</c:v>
                </c:pt>
                <c:pt idx="9">
                  <c:v>2021_2</c:v>
                </c:pt>
                <c:pt idx="10">
                  <c:v>2021_3</c:v>
                </c:pt>
                <c:pt idx="11">
                  <c:v>2021_4</c:v>
                </c:pt>
                <c:pt idx="12">
                  <c:v>2022_1</c:v>
                </c:pt>
                <c:pt idx="13">
                  <c:v>2022_2</c:v>
                </c:pt>
                <c:pt idx="14">
                  <c:v>2022_3</c:v>
                </c:pt>
                <c:pt idx="15">
                  <c:v>2022_4</c:v>
                </c:pt>
                <c:pt idx="16">
                  <c:v>2023_1</c:v>
                </c:pt>
                <c:pt idx="17">
                  <c:v>2023_2</c:v>
                </c:pt>
                <c:pt idx="18">
                  <c:v>2023_3</c:v>
                </c:pt>
                <c:pt idx="19">
                  <c:v>2023_4 </c:v>
                </c:pt>
                <c:pt idx="20">
                  <c:v>2024_1</c:v>
                </c:pt>
                <c:pt idx="21">
                  <c:v>2024_2</c:v>
                </c:pt>
                <c:pt idx="22">
                  <c:v>2024_3_to13.9</c:v>
                </c:pt>
              </c:strCache>
            </c:strRef>
          </c:cat>
          <c:val>
            <c:numRef>
              <c:f>'FC to Decision Data'!$I$13:$I$35</c:f>
              <c:numCache>
                <c:formatCode>General</c:formatCode>
                <c:ptCount val="23"/>
                <c:pt idx="0">
                  <c:v>233</c:v>
                </c:pt>
                <c:pt idx="1">
                  <c:v>157</c:v>
                </c:pt>
                <c:pt idx="2">
                  <c:v>176</c:v>
                </c:pt>
                <c:pt idx="3">
                  <c:v>121</c:v>
                </c:pt>
                <c:pt idx="4">
                  <c:v>200</c:v>
                </c:pt>
                <c:pt idx="5">
                  <c:v>167</c:v>
                </c:pt>
                <c:pt idx="6">
                  <c:v>159</c:v>
                </c:pt>
                <c:pt idx="7">
                  <c:v>134</c:v>
                </c:pt>
                <c:pt idx="8">
                  <c:v>138</c:v>
                </c:pt>
                <c:pt idx="9">
                  <c:v>120</c:v>
                </c:pt>
                <c:pt idx="10">
                  <c:v>181</c:v>
                </c:pt>
                <c:pt idx="11">
                  <c:v>192</c:v>
                </c:pt>
                <c:pt idx="12">
                  <c:v>211</c:v>
                </c:pt>
                <c:pt idx="13">
                  <c:v>265</c:v>
                </c:pt>
                <c:pt idx="14">
                  <c:v>234</c:v>
                </c:pt>
                <c:pt idx="15">
                  <c:v>218</c:v>
                </c:pt>
                <c:pt idx="16">
                  <c:v>282</c:v>
                </c:pt>
                <c:pt idx="17">
                  <c:v>323</c:v>
                </c:pt>
                <c:pt idx="18">
                  <c:v>317</c:v>
                </c:pt>
                <c:pt idx="19">
                  <c:v>342</c:v>
                </c:pt>
                <c:pt idx="20">
                  <c:v>251</c:v>
                </c:pt>
                <c:pt idx="21">
                  <c:v>430</c:v>
                </c:pt>
                <c:pt idx="22">
                  <c:v>465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BB-42D7-A514-DC2355EA71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887870272"/>
        <c:axId val="1956917008"/>
      </c:barChart>
      <c:lineChart>
        <c:grouping val="standard"/>
        <c:varyColors val="0"/>
        <c:ser>
          <c:idx val="0"/>
          <c:order val="0"/>
          <c:spPr>
            <a:ln w="34925" cap="rnd">
              <a:solidFill>
                <a:schemeClr val="accent3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1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dPt>
            <c:idx val="4"/>
            <c:marker>
              <c:symbol val="circle"/>
              <c:size val="6"/>
              <c:spPr>
                <a:gradFill rotWithShape="1">
                  <a:gsLst>
                    <a:gs pos="0">
                      <a:schemeClr val="accent1">
                        <a:shade val="51000"/>
                        <a:satMod val="130000"/>
                      </a:schemeClr>
                    </a:gs>
                    <a:gs pos="80000">
                      <a:schemeClr val="accent1">
                        <a:shade val="93000"/>
                        <a:satMod val="130000"/>
                      </a:schemeClr>
                    </a:gs>
                    <a:gs pos="100000">
                      <a:schemeClr val="accent1">
                        <a:shade val="94000"/>
                        <a:satMod val="135000"/>
                      </a:schemeClr>
                    </a:gs>
                  </a:gsLst>
                  <a:lin ang="16200000" scaled="0"/>
                </a:gradFill>
                <a:ln w="9525">
                  <a:solidFill>
                    <a:schemeClr val="accent3"/>
                  </a:solidFill>
                  <a:round/>
                </a:ln>
                <a:effectLst>
                  <a:outerShdw blurRad="40000" dist="23000" dir="5400000" rotWithShape="0">
                    <a:srgbClr val="000000">
                      <a:alpha val="35000"/>
                    </a:srgbClr>
                  </a:outerShdw>
                </a:effectLst>
                <a:scene3d>
                  <a:camera prst="orthographicFront">
                    <a:rot lat="0" lon="0" rev="0"/>
                  </a:camera>
                  <a:lightRig rig="threePt" dir="t">
                    <a:rot lat="0" lon="0" rev="1200000"/>
                  </a:lightRig>
                </a:scene3d>
                <a:sp3d>
                  <a:bevelT w="63500" h="25400"/>
                </a:sp3d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B0BB-42D7-A514-DC2355EA71B0}"/>
              </c:ext>
            </c:extLst>
          </c:dPt>
          <c:dPt>
            <c:idx val="5"/>
            <c:marker>
              <c:symbol val="circle"/>
              <c:size val="6"/>
              <c:spPr>
                <a:gradFill rotWithShape="1">
                  <a:gsLst>
                    <a:gs pos="0">
                      <a:schemeClr val="accent1">
                        <a:shade val="51000"/>
                        <a:satMod val="130000"/>
                      </a:schemeClr>
                    </a:gs>
                    <a:gs pos="80000">
                      <a:schemeClr val="accent1">
                        <a:shade val="93000"/>
                        <a:satMod val="130000"/>
                      </a:schemeClr>
                    </a:gs>
                    <a:gs pos="100000">
                      <a:schemeClr val="accent1">
                        <a:shade val="94000"/>
                        <a:satMod val="135000"/>
                      </a:schemeClr>
                    </a:gs>
                  </a:gsLst>
                  <a:lin ang="16200000" scaled="0"/>
                </a:gradFill>
                <a:ln w="9525">
                  <a:solidFill>
                    <a:schemeClr val="accent3"/>
                  </a:solidFill>
                  <a:round/>
                </a:ln>
                <a:effectLst>
                  <a:outerShdw blurRad="40000" dist="23000" dir="5400000" rotWithShape="0">
                    <a:srgbClr val="000000">
                      <a:alpha val="35000"/>
                    </a:srgbClr>
                  </a:outerShdw>
                </a:effectLst>
                <a:scene3d>
                  <a:camera prst="orthographicFront">
                    <a:rot lat="0" lon="0" rev="0"/>
                  </a:camera>
                  <a:lightRig rig="threePt" dir="t">
                    <a:rot lat="0" lon="0" rev="1200000"/>
                  </a:lightRig>
                </a:scene3d>
                <a:sp3d>
                  <a:bevelT w="63500" h="25400"/>
                </a:sp3d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B0BB-42D7-A514-DC2355EA71B0}"/>
              </c:ext>
            </c:extLst>
          </c:dPt>
          <c:cat>
            <c:strRef>
              <c:f>'FC to Decision Data'!$G$13:$G$35</c:f>
              <c:strCache>
                <c:ptCount val="23"/>
                <c:pt idx="0">
                  <c:v>2019_1</c:v>
                </c:pt>
                <c:pt idx="1">
                  <c:v>2019_2</c:v>
                </c:pt>
                <c:pt idx="2">
                  <c:v>2019_3</c:v>
                </c:pt>
                <c:pt idx="3">
                  <c:v>2019_4</c:v>
                </c:pt>
                <c:pt idx="4">
                  <c:v>2020_1</c:v>
                </c:pt>
                <c:pt idx="5">
                  <c:v>2020_2</c:v>
                </c:pt>
                <c:pt idx="6">
                  <c:v>2020_3</c:v>
                </c:pt>
                <c:pt idx="7">
                  <c:v>2020_4</c:v>
                </c:pt>
                <c:pt idx="8">
                  <c:v>2021_1</c:v>
                </c:pt>
                <c:pt idx="9">
                  <c:v>2021_2</c:v>
                </c:pt>
                <c:pt idx="10">
                  <c:v>2021_3</c:v>
                </c:pt>
                <c:pt idx="11">
                  <c:v>2021_4</c:v>
                </c:pt>
                <c:pt idx="12">
                  <c:v>2022_1</c:v>
                </c:pt>
                <c:pt idx="13">
                  <c:v>2022_2</c:v>
                </c:pt>
                <c:pt idx="14">
                  <c:v>2022_3</c:v>
                </c:pt>
                <c:pt idx="15">
                  <c:v>2022_4</c:v>
                </c:pt>
                <c:pt idx="16">
                  <c:v>2023_1</c:v>
                </c:pt>
                <c:pt idx="17">
                  <c:v>2023_2</c:v>
                </c:pt>
                <c:pt idx="18">
                  <c:v>2023_3</c:v>
                </c:pt>
                <c:pt idx="19">
                  <c:v>2023_4 </c:v>
                </c:pt>
                <c:pt idx="20">
                  <c:v>2024_1</c:v>
                </c:pt>
                <c:pt idx="21">
                  <c:v>2024_2</c:v>
                </c:pt>
                <c:pt idx="22">
                  <c:v>2024_3_to13.9</c:v>
                </c:pt>
              </c:strCache>
            </c:strRef>
          </c:cat>
          <c:val>
            <c:numRef>
              <c:f>'FC to Decision Data'!$H$13:$H$35</c:f>
              <c:numCache>
                <c:formatCode>0.00</c:formatCode>
                <c:ptCount val="23"/>
                <c:pt idx="0">
                  <c:v>72.858369098712444</c:v>
                </c:pt>
                <c:pt idx="1">
                  <c:v>71.121019108280251</c:v>
                </c:pt>
                <c:pt idx="2">
                  <c:v>69.715909090909093</c:v>
                </c:pt>
                <c:pt idx="3">
                  <c:v>69.181818181818187</c:v>
                </c:pt>
                <c:pt idx="4">
                  <c:v>84.38</c:v>
                </c:pt>
                <c:pt idx="5">
                  <c:v>80.113772455089816</c:v>
                </c:pt>
                <c:pt idx="6">
                  <c:v>69.421383647798748</c:v>
                </c:pt>
                <c:pt idx="7">
                  <c:v>69.708955223880594</c:v>
                </c:pt>
                <c:pt idx="8">
                  <c:v>80.898550724637687</c:v>
                </c:pt>
                <c:pt idx="9">
                  <c:v>82.716666666666669</c:v>
                </c:pt>
                <c:pt idx="10">
                  <c:v>90.994475138121544</c:v>
                </c:pt>
                <c:pt idx="11">
                  <c:v>88.854166666666671</c:v>
                </c:pt>
                <c:pt idx="12">
                  <c:v>88.30331753554502</c:v>
                </c:pt>
                <c:pt idx="13">
                  <c:v>76.698113207547166</c:v>
                </c:pt>
                <c:pt idx="14">
                  <c:v>69.5</c:v>
                </c:pt>
                <c:pt idx="15">
                  <c:v>69.099999999999994</c:v>
                </c:pt>
                <c:pt idx="16" formatCode="General">
                  <c:v>71.489999999999995</c:v>
                </c:pt>
                <c:pt idx="17" formatCode="General">
                  <c:v>76.61</c:v>
                </c:pt>
                <c:pt idx="18" formatCode="General">
                  <c:v>86.15</c:v>
                </c:pt>
                <c:pt idx="19">
                  <c:v>91.7</c:v>
                </c:pt>
                <c:pt idx="20">
                  <c:v>93.29</c:v>
                </c:pt>
                <c:pt idx="21" formatCode="General">
                  <c:v>65.27</c:v>
                </c:pt>
                <c:pt idx="22" formatCode="General">
                  <c:v>46.31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0BB-42D7-A514-DC2355EA71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87875552"/>
        <c:axId val="1619423312"/>
      </c:lineChart>
      <c:catAx>
        <c:axId val="1887870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56917008"/>
        <c:crosses val="autoZero"/>
        <c:auto val="1"/>
        <c:lblAlgn val="ctr"/>
        <c:lblOffset val="100"/>
        <c:noMultiLvlLbl val="0"/>
      </c:catAx>
      <c:valAx>
        <c:axId val="1956917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7870272"/>
        <c:crosses val="autoZero"/>
        <c:crossBetween val="between"/>
      </c:valAx>
      <c:valAx>
        <c:axId val="1619423312"/>
        <c:scaling>
          <c:orientation val="minMax"/>
        </c:scaling>
        <c:delete val="0"/>
        <c:axPos val="r"/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7875552"/>
        <c:crosses val="max"/>
        <c:crossBetween val="between"/>
      </c:valAx>
      <c:catAx>
        <c:axId val="188787555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61942331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28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gradFill>
        <a:gsLst>
          <a:gs pos="100000">
            <a:schemeClr val="dk1">
              <a:lumMod val="95000"/>
              <a:lumOff val="5000"/>
            </a:schemeClr>
          </a:gs>
          <a:gs pos="0">
            <a:schemeClr val="dk1">
              <a:lumMod val="75000"/>
              <a:lumOff val="25000"/>
            </a:schemeClr>
          </a:gs>
        </a:gsLst>
        <a:path path="circle">
          <a:fillToRect l="50000" t="50000" r="50000" b="50000"/>
        </a:path>
      </a:gradFill>
      <a:ln w="9525">
        <a:solidFill>
          <a:schemeClr val="dk1">
            <a:lumMod val="75000"/>
            <a:lumOff val="2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/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/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gradFill>
        <a:gsLst>
          <a:gs pos="100000">
            <a:schemeClr val="lt1">
              <a:lumMod val="85000"/>
            </a:schemeClr>
          </a:gs>
          <a:gs pos="0">
            <a:schemeClr val="lt1"/>
          </a:gs>
        </a:gsLst>
        <a:path path="circle">
          <a:fillToRect l="50000" t="50000" r="50000" b="50000"/>
        </a:path>
      </a:gradFill>
      <a:ln w="9525" cap="flat" cmpd="sng" algn="ctr">
        <a:solidFill>
          <a:schemeClr val="lt1"/>
        </a:solidFill>
        <a:round/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ED1440B31045B4E1968050965637" ma:contentTypeVersion="0" ma:contentTypeDescription="Create a new document." ma:contentTypeScope="" ma:versionID="f95430d46716fe57c80844cb2f8c9d8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b47bf9a48a2d4ebca331e7eeb7039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65620A-2C38-4555-A13E-CCC4D39D9AD4}"/>
</file>

<file path=customXml/itemProps2.xml><?xml version="1.0" encoding="utf-8"?>
<ds:datastoreItem xmlns:ds="http://schemas.openxmlformats.org/officeDocument/2006/customXml" ds:itemID="{88EC6E1C-5282-4736-8DC5-926B35F27B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275740-8420-47D3-8B23-7C7AED86FA14}">
  <ds:schemaRefs>
    <ds:schemaRef ds:uri="752946de-882e-4814-a485-513a273dddc6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612</Words>
  <Characters>3490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Tighe</dc:creator>
  <cp:keywords/>
  <dc:description/>
  <cp:lastModifiedBy>Anne Tighe</cp:lastModifiedBy>
  <cp:revision>2</cp:revision>
  <dcterms:created xsi:type="dcterms:W3CDTF">2024-09-30T16:01:00Z</dcterms:created>
  <dcterms:modified xsi:type="dcterms:W3CDTF">2024-09-30T16:01:00Z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0x01010017FDED1440B31045B4E1968050965637</vt:lpwstr>
  </property>
  <property fmtid="{D5CDD505-2E9C-101B-9397-08002B2CF9AE}" pid="3" name="eDocs_FileTopics">
    <vt:lpwstr/>
  </property>
  <property fmtid="{D5CDD505-2E9C-101B-9397-08002B2CF9AE}" pid="4" name="eDocs_SecurityClassification">
    <vt:lpwstr>4;#Restricted|d0905550-cbb1-4ae6-b38f-f822167d7c06</vt:lpwstr>
  </property>
  <property fmtid="{D5CDD505-2E9C-101B-9397-08002B2CF9AE}" pid="5" name="eDocs_Series">
    <vt:lpwstr>1;#100|c3cf4bd9-23ec-41e8-a27d-3f17f8d1d94c</vt:lpwstr>
  </property>
  <property fmtid="{D5CDD505-2E9C-101B-9397-08002B2CF9AE}" pid="6" name="eDocs_DocumentTopics">
    <vt:lpwstr/>
  </property>
  <property fmtid="{D5CDD505-2E9C-101B-9397-08002B2CF9AE}" pid="7" name="eDocs_Year">
    <vt:lpwstr/>
  </property>
</Properties>
</file>