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C929A" w14:textId="77777777" w:rsidR="00254A77" w:rsidRDefault="00254A77" w:rsidP="00254A77">
      <w:pPr>
        <w:jc w:val="center"/>
        <w:rPr>
          <w:b/>
        </w:rPr>
      </w:pPr>
      <w:r w:rsidRPr="00291B8C">
        <w:rPr>
          <w:b/>
        </w:rPr>
        <w:t xml:space="preserve">Response to Recommendations of the Joint Committee on the Pre-Legislative Scrutiny of the </w:t>
      </w:r>
      <w:r w:rsidRPr="00EB3152">
        <w:rPr>
          <w:b/>
        </w:rPr>
        <w:t>M</w:t>
      </w:r>
      <w:r w:rsidR="00E13A41">
        <w:rPr>
          <w:b/>
        </w:rPr>
        <w:t>AP</w:t>
      </w:r>
      <w:r w:rsidRPr="00EB3152">
        <w:rPr>
          <w:b/>
        </w:rPr>
        <w:t xml:space="preserve"> Bill</w:t>
      </w:r>
    </w:p>
    <w:p w14:paraId="63F12557" w14:textId="77777777" w:rsidR="00254A77" w:rsidRDefault="00254A77" w:rsidP="00254A77">
      <w:pPr>
        <w:jc w:val="center"/>
        <w:rPr>
          <w:b/>
        </w:rPr>
      </w:pPr>
    </w:p>
    <w:tbl>
      <w:tblPr>
        <w:tblW w:w="0" w:type="auto"/>
        <w:tblCellMar>
          <w:left w:w="0" w:type="dxa"/>
          <w:right w:w="0" w:type="dxa"/>
        </w:tblCellMar>
        <w:tblLook w:val="04A0" w:firstRow="1" w:lastRow="0" w:firstColumn="1" w:lastColumn="0" w:noHBand="0" w:noVBand="1"/>
      </w:tblPr>
      <w:tblGrid>
        <w:gridCol w:w="3111"/>
        <w:gridCol w:w="1276"/>
      </w:tblGrid>
      <w:tr w:rsidR="00254A77" w:rsidRPr="00291B8C" w14:paraId="75A6FFB2" w14:textId="77777777" w:rsidTr="009376E1">
        <w:tc>
          <w:tcPr>
            <w:tcW w:w="3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325D23" w14:textId="77777777" w:rsidR="00254A77" w:rsidRPr="00291B8C" w:rsidRDefault="00254A77" w:rsidP="009376E1">
            <w:pPr>
              <w:jc w:val="center"/>
              <w:rPr>
                <w:b/>
                <w:bCs/>
                <w:lang w:val="en-GB"/>
              </w:rPr>
            </w:pPr>
            <w:r w:rsidRPr="00291B8C">
              <w:rPr>
                <w:b/>
                <w:bCs/>
                <w:lang w:val="en-GB"/>
              </w:rPr>
              <w:t>Recommendation</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2BDC15" w14:textId="77777777" w:rsidR="00254A77" w:rsidRPr="00291B8C" w:rsidRDefault="00254A77" w:rsidP="009376E1">
            <w:pPr>
              <w:jc w:val="center"/>
              <w:rPr>
                <w:b/>
                <w:bCs/>
                <w:lang w:val="en-GB"/>
              </w:rPr>
            </w:pPr>
            <w:r w:rsidRPr="00291B8C">
              <w:rPr>
                <w:b/>
                <w:bCs/>
                <w:lang w:val="en-GB"/>
              </w:rPr>
              <w:t>No.</w:t>
            </w:r>
          </w:p>
        </w:tc>
      </w:tr>
      <w:tr w:rsidR="00254A77" w:rsidRPr="00291B8C" w14:paraId="38CA2BB1" w14:textId="77777777" w:rsidTr="009376E1">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C495A" w14:textId="77777777" w:rsidR="00254A77" w:rsidRPr="00291B8C" w:rsidRDefault="00254A77" w:rsidP="009376E1">
            <w:pPr>
              <w:jc w:val="center"/>
              <w:rPr>
                <w:b/>
                <w:lang w:val="en-GB"/>
              </w:rPr>
            </w:pPr>
            <w:r w:rsidRPr="00291B8C">
              <w:rPr>
                <w:b/>
                <w:lang w:val="en-GB"/>
              </w:rPr>
              <w:t xml:space="preserve">Accepted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686B492" w14:textId="77777777" w:rsidR="00254A77" w:rsidRPr="00291B8C" w:rsidRDefault="003A0F3F" w:rsidP="009376E1">
            <w:pPr>
              <w:jc w:val="center"/>
              <w:rPr>
                <w:b/>
                <w:lang w:val="en-GB"/>
              </w:rPr>
            </w:pPr>
            <w:r>
              <w:rPr>
                <w:b/>
                <w:lang w:val="en-GB"/>
              </w:rPr>
              <w:t>15</w:t>
            </w:r>
          </w:p>
        </w:tc>
      </w:tr>
      <w:tr w:rsidR="00254A77" w:rsidRPr="00291B8C" w14:paraId="0DAC30AC" w14:textId="77777777" w:rsidTr="009376E1">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FAF94C" w14:textId="77777777" w:rsidR="00254A77" w:rsidRPr="00291B8C" w:rsidRDefault="00254A77" w:rsidP="009376E1">
            <w:pPr>
              <w:jc w:val="center"/>
              <w:rPr>
                <w:b/>
                <w:lang w:val="en-GB"/>
              </w:rPr>
            </w:pPr>
            <w:r w:rsidRPr="00291B8C">
              <w:rPr>
                <w:b/>
                <w:lang w:val="en-GB"/>
              </w:rPr>
              <w:t>Partially Accepted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D3AA3D6" w14:textId="77777777" w:rsidR="00254A77" w:rsidRPr="00291B8C" w:rsidRDefault="003A0F3F" w:rsidP="009376E1">
            <w:pPr>
              <w:jc w:val="center"/>
              <w:rPr>
                <w:b/>
                <w:lang w:val="en-GB"/>
              </w:rPr>
            </w:pPr>
            <w:r>
              <w:rPr>
                <w:b/>
                <w:lang w:val="en-GB"/>
              </w:rPr>
              <w:t>11</w:t>
            </w:r>
          </w:p>
        </w:tc>
      </w:tr>
      <w:tr w:rsidR="00254A77" w:rsidRPr="00291B8C" w14:paraId="7E6836A0" w14:textId="77777777" w:rsidTr="009376E1">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3E77D" w14:textId="77777777" w:rsidR="00254A77" w:rsidRPr="00291B8C" w:rsidRDefault="00254A77" w:rsidP="009376E1">
            <w:pPr>
              <w:jc w:val="center"/>
              <w:rPr>
                <w:b/>
                <w:lang w:val="en-GB"/>
              </w:rPr>
            </w:pPr>
            <w:r w:rsidRPr="00291B8C">
              <w:rPr>
                <w:b/>
                <w:lang w:val="en-GB"/>
              </w:rPr>
              <w:t>Not Accepted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964784E" w14:textId="77777777" w:rsidR="00254A77" w:rsidRPr="00291B8C" w:rsidRDefault="003A0F3F" w:rsidP="009376E1">
            <w:pPr>
              <w:jc w:val="center"/>
              <w:rPr>
                <w:b/>
                <w:lang w:val="en-GB"/>
              </w:rPr>
            </w:pPr>
            <w:r>
              <w:rPr>
                <w:b/>
                <w:lang w:val="en-GB"/>
              </w:rPr>
              <w:t>3</w:t>
            </w:r>
          </w:p>
        </w:tc>
      </w:tr>
      <w:tr w:rsidR="00254A77" w:rsidRPr="00291B8C" w14:paraId="746475C7" w14:textId="77777777" w:rsidTr="009376E1">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4A6B6" w14:textId="77777777" w:rsidR="00254A77" w:rsidRPr="00291B8C" w:rsidRDefault="00254A77" w:rsidP="009376E1">
            <w:pPr>
              <w:jc w:val="center"/>
              <w:rPr>
                <w:b/>
                <w:lang w:val="en-GB"/>
              </w:rPr>
            </w:pPr>
            <w:r w:rsidRPr="00291B8C">
              <w:rPr>
                <w:b/>
                <w:lang w:val="en-GB"/>
              </w:rPr>
              <w:t xml:space="preserve">Total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07C876E" w14:textId="77777777" w:rsidR="00254A77" w:rsidRPr="00291B8C" w:rsidRDefault="00254A77" w:rsidP="009376E1">
            <w:pPr>
              <w:jc w:val="center"/>
              <w:rPr>
                <w:b/>
                <w:lang w:val="en-GB"/>
              </w:rPr>
            </w:pPr>
            <w:r>
              <w:rPr>
                <w:b/>
                <w:lang w:val="en-GB"/>
              </w:rPr>
              <w:t>29</w:t>
            </w:r>
          </w:p>
        </w:tc>
      </w:tr>
    </w:tbl>
    <w:p w14:paraId="4D074602" w14:textId="77777777" w:rsidR="00254A77" w:rsidRDefault="00254A77" w:rsidP="00254A77">
      <w:pPr>
        <w:jc w:val="center"/>
        <w:rPr>
          <w:b/>
        </w:rPr>
      </w:pPr>
    </w:p>
    <w:p w14:paraId="2B15982A" w14:textId="77777777" w:rsidR="00357164" w:rsidRPr="00AA6C27" w:rsidRDefault="00357164" w:rsidP="00357164">
      <w:pPr>
        <w:rPr>
          <w:rFonts w:eastAsia="Times New Roman" w:cstheme="minorHAnsi"/>
          <w:b/>
          <w:lang w:eastAsia="en-IE"/>
        </w:rPr>
      </w:pPr>
    </w:p>
    <w:p w14:paraId="767B4A23" w14:textId="77777777" w:rsidR="00357164" w:rsidRPr="00AA6C27" w:rsidRDefault="00357164" w:rsidP="00357164">
      <w:pPr>
        <w:rPr>
          <w:rFonts w:eastAsia="Times New Roman" w:cstheme="minorHAnsi"/>
          <w:b/>
          <w:lang w:eastAsia="en-IE"/>
        </w:rPr>
      </w:pPr>
    </w:p>
    <w:tbl>
      <w:tblPr>
        <w:tblStyle w:val="TableGrid"/>
        <w:tblW w:w="13745" w:type="dxa"/>
        <w:tblLook w:val="04A0" w:firstRow="1" w:lastRow="0" w:firstColumn="1" w:lastColumn="0" w:noHBand="0" w:noVBand="1"/>
      </w:tblPr>
      <w:tblGrid>
        <w:gridCol w:w="498"/>
        <w:gridCol w:w="5167"/>
        <w:gridCol w:w="1054"/>
        <w:gridCol w:w="5325"/>
        <w:gridCol w:w="1701"/>
      </w:tblGrid>
      <w:tr w:rsidR="000611A5" w:rsidRPr="00AA6C27" w14:paraId="29EBB02F" w14:textId="77777777" w:rsidTr="000611A5">
        <w:tc>
          <w:tcPr>
            <w:tcW w:w="498" w:type="dxa"/>
          </w:tcPr>
          <w:p w14:paraId="72D81A78" w14:textId="77777777" w:rsidR="000611A5" w:rsidRPr="00AA6C27" w:rsidRDefault="000611A5" w:rsidP="00357164">
            <w:pPr>
              <w:spacing w:after="160" w:line="259" w:lineRule="auto"/>
              <w:rPr>
                <w:rFonts w:eastAsia="Times New Roman" w:cstheme="minorHAnsi"/>
                <w:b/>
                <w:lang w:eastAsia="en-IE"/>
              </w:rPr>
            </w:pPr>
          </w:p>
        </w:tc>
        <w:tc>
          <w:tcPr>
            <w:tcW w:w="5167" w:type="dxa"/>
            <w:shd w:val="clear" w:color="auto" w:fill="C00000"/>
          </w:tcPr>
          <w:p w14:paraId="677C743D"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Committee recommendation/conclusion</w:t>
            </w:r>
          </w:p>
        </w:tc>
        <w:tc>
          <w:tcPr>
            <w:tcW w:w="1054" w:type="dxa"/>
            <w:shd w:val="clear" w:color="auto" w:fill="C00000"/>
          </w:tcPr>
          <w:p w14:paraId="2C8431BC" w14:textId="77777777" w:rsidR="000611A5" w:rsidRPr="00AA6C27" w:rsidRDefault="000611A5" w:rsidP="00357164">
            <w:pPr>
              <w:rPr>
                <w:rFonts w:eastAsia="Times New Roman" w:cstheme="minorHAnsi"/>
                <w:b/>
                <w:lang w:eastAsia="en-IE"/>
              </w:rPr>
            </w:pPr>
            <w:r>
              <w:rPr>
                <w:rFonts w:eastAsia="Times New Roman" w:cstheme="minorHAnsi"/>
                <w:b/>
                <w:lang w:eastAsia="en-IE"/>
              </w:rPr>
              <w:t>Status</w:t>
            </w:r>
          </w:p>
        </w:tc>
        <w:tc>
          <w:tcPr>
            <w:tcW w:w="5325" w:type="dxa"/>
            <w:shd w:val="clear" w:color="auto" w:fill="C00000"/>
          </w:tcPr>
          <w:p w14:paraId="6674D083"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Comment</w:t>
            </w:r>
            <w:r>
              <w:rPr>
                <w:rFonts w:eastAsia="Times New Roman" w:cstheme="minorHAnsi"/>
                <w:b/>
                <w:lang w:eastAsia="en-IE"/>
              </w:rPr>
              <w:t>s</w:t>
            </w:r>
          </w:p>
        </w:tc>
        <w:tc>
          <w:tcPr>
            <w:tcW w:w="1701" w:type="dxa"/>
            <w:shd w:val="clear" w:color="auto" w:fill="C00000"/>
          </w:tcPr>
          <w:p w14:paraId="2A701BEA" w14:textId="77777777" w:rsidR="000611A5" w:rsidRPr="00AA6C27" w:rsidRDefault="000611A5" w:rsidP="00357164">
            <w:pPr>
              <w:rPr>
                <w:rFonts w:eastAsia="Times New Roman" w:cstheme="minorHAnsi"/>
                <w:b/>
                <w:lang w:eastAsia="en-IE"/>
              </w:rPr>
            </w:pPr>
            <w:r>
              <w:rPr>
                <w:rFonts w:eastAsia="Times New Roman" w:cstheme="minorHAnsi"/>
                <w:b/>
                <w:lang w:eastAsia="en-IE"/>
              </w:rPr>
              <w:t>Relevant Part</w:t>
            </w:r>
          </w:p>
        </w:tc>
      </w:tr>
      <w:tr w:rsidR="000611A5" w:rsidRPr="00AA6C27" w14:paraId="337DD154" w14:textId="77777777" w:rsidTr="000611A5">
        <w:tc>
          <w:tcPr>
            <w:tcW w:w="498" w:type="dxa"/>
          </w:tcPr>
          <w:p w14:paraId="51D2BC30"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1.</w:t>
            </w:r>
          </w:p>
        </w:tc>
        <w:tc>
          <w:tcPr>
            <w:tcW w:w="5167" w:type="dxa"/>
          </w:tcPr>
          <w:p w14:paraId="1C8A515C"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The completion of designation, and specification of regulation and management of Marine Protected Areas based on ecosystem requirements, required under Article 13(4) of the Marine Strategy Framework Directive as the basis for any spatial plan and consents, be provided for in the proposed bill as a precondition to the making of any plan or the granting of any consent under the legislation.</w:t>
            </w:r>
          </w:p>
        </w:tc>
        <w:tc>
          <w:tcPr>
            <w:tcW w:w="1054" w:type="dxa"/>
          </w:tcPr>
          <w:p w14:paraId="015FFAB0" w14:textId="77777777" w:rsidR="000611A5" w:rsidRDefault="000611A5" w:rsidP="00645A41">
            <w:pPr>
              <w:rPr>
                <w:rFonts w:eastAsia="Times New Roman" w:cstheme="minorHAnsi"/>
                <w:lang w:eastAsia="en-IE"/>
              </w:rPr>
            </w:pPr>
            <w:r>
              <w:rPr>
                <w:rFonts w:eastAsia="Times New Roman" w:cstheme="minorHAnsi"/>
                <w:lang w:eastAsia="en-IE"/>
              </w:rPr>
              <w:t>Not accepted</w:t>
            </w:r>
          </w:p>
        </w:tc>
        <w:tc>
          <w:tcPr>
            <w:tcW w:w="5325" w:type="dxa"/>
          </w:tcPr>
          <w:p w14:paraId="5A20D142" w14:textId="77777777" w:rsidR="000611A5" w:rsidRDefault="000611A5" w:rsidP="009376E1">
            <w:pPr>
              <w:rPr>
                <w:rFonts w:eastAsia="Times New Roman" w:cstheme="minorHAnsi"/>
                <w:lang w:eastAsia="en-IE"/>
              </w:rPr>
            </w:pPr>
            <w:r w:rsidRPr="481C100E">
              <w:rPr>
                <w:rFonts w:eastAsiaTheme="minorEastAsia"/>
                <w:lang w:eastAsia="en-IE"/>
              </w:rPr>
              <w:t xml:space="preserve">Legislation is being developed separately by MHLGH to provide comprehensively for the definition, identification, designation and management of marine protected areas (MPAs), which is necessary to expand Ireland’s network of protected sites in the sea.  The scope and complexity of this process with respect to Ireland’s extensive maritime area and ecosystems, along with its need to remain independent of the statutory consent process, necessarily means that the MPA legislation will post-date the establishment of the new spatial planning regime that is primarily centred around human activities. The Bill provides for consideration of any and all legally protected marine sites including </w:t>
            </w:r>
            <w:r w:rsidRPr="481C100E">
              <w:rPr>
                <w:rFonts w:eastAsiaTheme="minorEastAsia"/>
                <w:lang w:eastAsia="en-IE"/>
              </w:rPr>
              <w:lastRenderedPageBreak/>
              <w:t>MPAs, once designated, at both a project level and in the preparation of Marine Spatial Plans.</w:t>
            </w:r>
          </w:p>
          <w:p w14:paraId="3808A7F8" w14:textId="77777777" w:rsidR="000611A5" w:rsidRPr="009376E1" w:rsidRDefault="000611A5" w:rsidP="009376E1">
            <w:pPr>
              <w:rPr>
                <w:rFonts w:eastAsia="Times New Roman" w:cstheme="minorHAnsi"/>
                <w:lang w:eastAsia="en-IE"/>
              </w:rPr>
            </w:pPr>
            <w:r>
              <w:rPr>
                <w:rFonts w:eastAsia="Times New Roman" w:cstheme="minorHAnsi"/>
                <w:lang w:eastAsia="en-IE"/>
              </w:rPr>
              <w:t>Further information on MPAs is available at:</w:t>
            </w:r>
          </w:p>
          <w:p w14:paraId="3F20B5FA" w14:textId="77777777" w:rsidR="000611A5" w:rsidRDefault="009525E5" w:rsidP="009376E1">
            <w:pPr>
              <w:spacing w:after="160" w:line="259" w:lineRule="auto"/>
              <w:rPr>
                <w:rFonts w:eastAsia="Times New Roman" w:cstheme="minorHAnsi"/>
                <w:lang w:eastAsia="en-IE"/>
              </w:rPr>
            </w:pPr>
            <w:hyperlink r:id="rId10" w:history="1">
              <w:r w:rsidR="000611A5" w:rsidRPr="008E6E3C">
                <w:rPr>
                  <w:rStyle w:val="Hyperlink"/>
                  <w:rFonts w:eastAsia="Times New Roman" w:cstheme="minorHAnsi"/>
                  <w:lang w:eastAsia="en-IE"/>
                </w:rPr>
                <w:t>https://www.gov.ie/en/publication/e00ec-marine-protected-areas/</w:t>
              </w:r>
            </w:hyperlink>
          </w:p>
          <w:p w14:paraId="64F20C56" w14:textId="77777777" w:rsidR="000611A5" w:rsidRPr="00AA6C27" w:rsidRDefault="000611A5" w:rsidP="009376E1">
            <w:pPr>
              <w:spacing w:after="160" w:line="259" w:lineRule="auto"/>
              <w:rPr>
                <w:rFonts w:eastAsia="Times New Roman" w:cstheme="minorHAnsi"/>
                <w:lang w:eastAsia="en-IE"/>
              </w:rPr>
            </w:pPr>
          </w:p>
        </w:tc>
        <w:tc>
          <w:tcPr>
            <w:tcW w:w="1701" w:type="dxa"/>
          </w:tcPr>
          <w:p w14:paraId="34D03B40" w14:textId="77777777" w:rsidR="000611A5" w:rsidRPr="481C100E" w:rsidRDefault="00586DDC" w:rsidP="009376E1">
            <w:pPr>
              <w:rPr>
                <w:rFonts w:eastAsiaTheme="minorEastAsia"/>
                <w:lang w:eastAsia="en-IE"/>
              </w:rPr>
            </w:pPr>
            <w:r>
              <w:rPr>
                <w:rFonts w:eastAsiaTheme="minorEastAsia"/>
                <w:lang w:eastAsia="en-IE"/>
              </w:rPr>
              <w:lastRenderedPageBreak/>
              <w:t>N/A</w:t>
            </w:r>
          </w:p>
        </w:tc>
      </w:tr>
      <w:tr w:rsidR="000611A5" w:rsidRPr="00AA6C27" w14:paraId="707505E6" w14:textId="77777777" w:rsidTr="000611A5">
        <w:tc>
          <w:tcPr>
            <w:tcW w:w="498" w:type="dxa"/>
          </w:tcPr>
          <w:p w14:paraId="7CD45D80"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2.</w:t>
            </w:r>
          </w:p>
        </w:tc>
        <w:tc>
          <w:tcPr>
            <w:tcW w:w="5167" w:type="dxa"/>
          </w:tcPr>
          <w:p w14:paraId="7A13FD78"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Alternatively, the Department prioritise the introduction of separate and complementary legislation to complete the designation, regulation and management of Marine Protected Areas and subsequently that Marine Protected</w:t>
            </w:r>
            <w:r>
              <w:rPr>
                <w:rFonts w:eastAsia="Times New Roman" w:cstheme="minorHAnsi"/>
                <w:lang w:eastAsia="en-IE"/>
              </w:rPr>
              <w:t xml:space="preserve"> Areas </w:t>
            </w:r>
            <w:r>
              <w:t>are included in the National Marine Planning Framework and Marine Spatial Plan</w:t>
            </w:r>
          </w:p>
        </w:tc>
        <w:tc>
          <w:tcPr>
            <w:tcW w:w="1054" w:type="dxa"/>
          </w:tcPr>
          <w:p w14:paraId="6BEFDC1A" w14:textId="77777777" w:rsidR="000611A5" w:rsidRDefault="000611A5" w:rsidP="00357164">
            <w:pPr>
              <w:rPr>
                <w:rFonts w:eastAsia="Times New Roman" w:cstheme="minorHAnsi"/>
                <w:lang w:eastAsia="en-IE"/>
              </w:rPr>
            </w:pPr>
            <w:r>
              <w:rPr>
                <w:rFonts w:eastAsia="Times New Roman" w:cstheme="minorHAnsi"/>
                <w:lang w:eastAsia="en-IE"/>
              </w:rPr>
              <w:t>Accepted</w:t>
            </w:r>
          </w:p>
        </w:tc>
        <w:tc>
          <w:tcPr>
            <w:tcW w:w="5325" w:type="dxa"/>
          </w:tcPr>
          <w:p w14:paraId="6BDBC6DB" w14:textId="77777777" w:rsidR="000611A5" w:rsidRPr="00AA6C27" w:rsidRDefault="000611A5" w:rsidP="00357164">
            <w:pPr>
              <w:spacing w:after="160" w:line="259" w:lineRule="auto"/>
              <w:rPr>
                <w:rFonts w:eastAsia="Times New Roman" w:cstheme="minorHAnsi"/>
                <w:lang w:eastAsia="en-IE"/>
              </w:rPr>
            </w:pPr>
            <w:r>
              <w:rPr>
                <w:rFonts w:eastAsia="Times New Roman" w:cstheme="minorHAnsi"/>
                <w:lang w:eastAsia="en-IE"/>
              </w:rPr>
              <w:t>As above.</w:t>
            </w:r>
            <w:r w:rsidRPr="00AA6C27">
              <w:rPr>
                <w:rFonts w:eastAsia="Times New Roman" w:cstheme="minorHAnsi"/>
                <w:lang w:eastAsia="en-IE"/>
              </w:rPr>
              <w:t xml:space="preserve">  </w:t>
            </w:r>
            <w:r>
              <w:rPr>
                <w:rFonts w:eastAsia="Times New Roman" w:cstheme="minorHAnsi"/>
                <w:lang w:eastAsia="en-IE"/>
              </w:rPr>
              <w:t>Development of the legislation is ongoing.</w:t>
            </w:r>
          </w:p>
        </w:tc>
        <w:tc>
          <w:tcPr>
            <w:tcW w:w="1701" w:type="dxa"/>
          </w:tcPr>
          <w:p w14:paraId="6968B1AC" w14:textId="77777777" w:rsidR="000611A5" w:rsidRDefault="00586DDC" w:rsidP="00357164">
            <w:pPr>
              <w:rPr>
                <w:rFonts w:eastAsia="Times New Roman" w:cstheme="minorHAnsi"/>
                <w:lang w:eastAsia="en-IE"/>
              </w:rPr>
            </w:pPr>
            <w:r>
              <w:rPr>
                <w:rFonts w:eastAsia="Times New Roman" w:cstheme="minorHAnsi"/>
                <w:lang w:eastAsia="en-IE"/>
              </w:rPr>
              <w:t>N/A</w:t>
            </w:r>
          </w:p>
        </w:tc>
      </w:tr>
      <w:tr w:rsidR="000611A5" w:rsidRPr="00AA6C27" w14:paraId="64866C0B" w14:textId="77777777" w:rsidTr="000611A5">
        <w:tc>
          <w:tcPr>
            <w:tcW w:w="498" w:type="dxa"/>
          </w:tcPr>
          <w:p w14:paraId="54703068"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3.</w:t>
            </w:r>
          </w:p>
        </w:tc>
        <w:tc>
          <w:tcPr>
            <w:tcW w:w="5167" w:type="dxa"/>
          </w:tcPr>
          <w:p w14:paraId="6EFDD654"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The Government implement interim measures to protect areas of the marine environment given the disparity between the introduction of the proposed legislation and the absence of legislation regulating Maritime Protected Areas.</w:t>
            </w:r>
          </w:p>
        </w:tc>
        <w:tc>
          <w:tcPr>
            <w:tcW w:w="1054" w:type="dxa"/>
          </w:tcPr>
          <w:p w14:paraId="1B143879" w14:textId="77777777" w:rsidR="000611A5" w:rsidRDefault="000611A5" w:rsidP="00357164">
            <w:pPr>
              <w:rPr>
                <w:rFonts w:eastAsia="Times New Roman" w:cstheme="minorHAnsi"/>
                <w:lang w:eastAsia="en-IE"/>
              </w:rPr>
            </w:pPr>
            <w:r>
              <w:rPr>
                <w:rFonts w:eastAsia="Times New Roman" w:cstheme="minorHAnsi"/>
                <w:lang w:eastAsia="en-IE"/>
              </w:rPr>
              <w:t>Partially Accepted</w:t>
            </w:r>
          </w:p>
        </w:tc>
        <w:tc>
          <w:tcPr>
            <w:tcW w:w="5325" w:type="dxa"/>
          </w:tcPr>
          <w:p w14:paraId="71C7396B" w14:textId="77777777" w:rsidR="000611A5" w:rsidRPr="00E13A41" w:rsidRDefault="000611A5" w:rsidP="001D5AA6">
            <w:pPr>
              <w:rPr>
                <w:lang w:eastAsia="en-IE"/>
              </w:rPr>
            </w:pPr>
            <w:r w:rsidRPr="00E13A41">
              <w:rPr>
                <w:lang w:eastAsia="en-IE"/>
              </w:rPr>
              <w:t>Existing measures for the protection of the marine environment and its features such as Environmental Impact Assessment and Appropriate Assessment requirements, the conservation of Ireland’s Natura 2000 network of sites (i.e. SACs, SPAs) and the protection of listed species and habitats under the Birds and Natural Habitats Regulations and the Wildlife Acts, plus Ireland’s binding environmental targets under the Marine Strategy Framework Directive, already apply to the Maritime Area. </w:t>
            </w:r>
          </w:p>
          <w:p w14:paraId="02F2B84F" w14:textId="77777777" w:rsidR="000611A5" w:rsidRDefault="000611A5" w:rsidP="00357164">
            <w:pPr>
              <w:spacing w:after="160" w:line="259" w:lineRule="auto"/>
              <w:rPr>
                <w:rFonts w:eastAsia="Times New Roman" w:cstheme="minorHAnsi"/>
                <w:lang w:eastAsia="en-IE"/>
              </w:rPr>
            </w:pPr>
            <w:r w:rsidRPr="00E13A41">
              <w:rPr>
                <w:rFonts w:eastAsia="Times New Roman" w:cstheme="minorHAnsi"/>
                <w:lang w:eastAsia="en-IE"/>
              </w:rPr>
              <w:t xml:space="preserve">DMAPs will take into account </w:t>
            </w:r>
            <w:r>
              <w:rPr>
                <w:rFonts w:eastAsia="Times New Roman" w:cstheme="minorHAnsi"/>
                <w:lang w:eastAsia="en-IE"/>
              </w:rPr>
              <w:t xml:space="preserve">the environment of the area involved and includes provision, </w:t>
            </w:r>
            <w:r w:rsidRPr="00F7011F">
              <w:rPr>
                <w:rFonts w:eastAsia="Times New Roman" w:cstheme="minorHAnsi"/>
                <w:i/>
                <w:lang w:eastAsia="en-IE"/>
              </w:rPr>
              <w:t>inter alia</w:t>
            </w:r>
            <w:r>
              <w:rPr>
                <w:rFonts w:eastAsia="Times New Roman" w:cstheme="minorHAnsi"/>
                <w:lang w:eastAsia="en-IE"/>
              </w:rPr>
              <w:t xml:space="preserve">, for allowed/restricted uses, mitigating measures for the impacts of certain usages, measures to avoid adverse impacts and environmentally beneficial measures. </w:t>
            </w:r>
          </w:p>
          <w:p w14:paraId="34955AAF" w14:textId="77777777" w:rsidR="000611A5" w:rsidRDefault="000611A5" w:rsidP="00357164">
            <w:pPr>
              <w:spacing w:after="160" w:line="259" w:lineRule="auto"/>
              <w:rPr>
                <w:rFonts w:eastAsia="Times New Roman" w:cstheme="minorHAnsi"/>
                <w:lang w:eastAsia="en-IE"/>
              </w:rPr>
            </w:pPr>
            <w:r>
              <w:rPr>
                <w:rFonts w:eastAsia="Times New Roman" w:cstheme="minorHAnsi"/>
                <w:lang w:eastAsia="en-IE"/>
              </w:rPr>
              <w:lastRenderedPageBreak/>
              <w:t xml:space="preserve">The Bill provides that project level decision makers </w:t>
            </w:r>
            <w:r w:rsidRPr="00A32B57">
              <w:rPr>
                <w:rFonts w:eastAsia="Times New Roman" w:cstheme="minorHAnsi"/>
                <w:lang w:eastAsia="en-IE"/>
              </w:rPr>
              <w:t>wil</w:t>
            </w:r>
            <w:r>
              <w:rPr>
                <w:rFonts w:eastAsia="Times New Roman" w:cstheme="minorHAnsi"/>
                <w:lang w:eastAsia="en-IE"/>
              </w:rPr>
              <w:t>l have to give due regard to</w:t>
            </w:r>
            <w:r w:rsidRPr="00A32B57">
              <w:rPr>
                <w:rFonts w:eastAsia="Times New Roman" w:cstheme="minorHAnsi"/>
                <w:lang w:eastAsia="en-IE"/>
              </w:rPr>
              <w:t xml:space="preserve"> existing</w:t>
            </w:r>
            <w:r>
              <w:rPr>
                <w:rFonts w:eastAsia="Times New Roman" w:cstheme="minorHAnsi"/>
                <w:lang w:eastAsia="en-IE"/>
              </w:rPr>
              <w:t xml:space="preserve"> and new</w:t>
            </w:r>
            <w:r w:rsidRPr="00A32B57">
              <w:rPr>
                <w:rFonts w:eastAsia="Times New Roman" w:cstheme="minorHAnsi"/>
                <w:lang w:eastAsia="en-IE"/>
              </w:rPr>
              <w:t xml:space="preserve"> designations</w:t>
            </w:r>
            <w:r>
              <w:rPr>
                <w:rFonts w:eastAsia="Times New Roman" w:cstheme="minorHAnsi"/>
                <w:lang w:eastAsia="en-IE"/>
              </w:rPr>
              <w:t>.</w:t>
            </w:r>
          </w:p>
          <w:p w14:paraId="60C4B6F4" w14:textId="77777777" w:rsidR="000611A5" w:rsidRDefault="000611A5">
            <w:r w:rsidRPr="481C100E">
              <w:rPr>
                <w:rFonts w:eastAsiaTheme="minorEastAsia"/>
                <w:lang w:eastAsia="en-IE"/>
              </w:rPr>
              <w:t>The first National Marine Planning Framework, established this Summer, already applies to decision makers and State actors in the Maritime Area. The NMPF puts at the heart of all decision, plan and policy making, ocean health and protection of our marine ecosystem.</w:t>
            </w:r>
          </w:p>
          <w:p w14:paraId="75AB9524" w14:textId="77777777" w:rsidR="000611A5" w:rsidRPr="00AA6C27" w:rsidRDefault="000611A5" w:rsidP="00357164">
            <w:pPr>
              <w:spacing w:after="160" w:line="259" w:lineRule="auto"/>
              <w:rPr>
                <w:rFonts w:eastAsia="Times New Roman" w:cstheme="minorHAnsi"/>
                <w:lang w:eastAsia="en-IE"/>
              </w:rPr>
            </w:pPr>
          </w:p>
        </w:tc>
        <w:tc>
          <w:tcPr>
            <w:tcW w:w="1701" w:type="dxa"/>
          </w:tcPr>
          <w:p w14:paraId="52857280" w14:textId="77777777" w:rsidR="000611A5" w:rsidRPr="00E13A41" w:rsidRDefault="000611A5" w:rsidP="001D5AA6">
            <w:pPr>
              <w:rPr>
                <w:lang w:eastAsia="en-IE"/>
              </w:rPr>
            </w:pPr>
            <w:r>
              <w:rPr>
                <w:lang w:eastAsia="en-IE"/>
              </w:rPr>
              <w:lastRenderedPageBreak/>
              <w:t>Part 2</w:t>
            </w:r>
          </w:p>
        </w:tc>
      </w:tr>
      <w:tr w:rsidR="000611A5" w:rsidRPr="00AA6C27" w14:paraId="123ED5C5" w14:textId="77777777" w:rsidTr="000611A5">
        <w:tc>
          <w:tcPr>
            <w:tcW w:w="498" w:type="dxa"/>
          </w:tcPr>
          <w:p w14:paraId="13EBD025"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4.</w:t>
            </w:r>
          </w:p>
        </w:tc>
        <w:tc>
          <w:tcPr>
            <w:tcW w:w="5167" w:type="dxa"/>
          </w:tcPr>
          <w:p w14:paraId="589CCF5E"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All ecosystem requirements of the Maritime Spatial Planning and Marine Strategy Framework Directives, in particular those of species and habitats listed under the EU Birds and Habitats directives, the OSPAR Convention and the International Union for Conservation of Nature Red lists be taken into account as part of any planning process in the proposed legislation.</w:t>
            </w:r>
          </w:p>
        </w:tc>
        <w:tc>
          <w:tcPr>
            <w:tcW w:w="1054" w:type="dxa"/>
          </w:tcPr>
          <w:p w14:paraId="12CC1E45" w14:textId="77777777" w:rsidR="000611A5" w:rsidRPr="00645A41" w:rsidRDefault="000611A5" w:rsidP="00357164">
            <w:pPr>
              <w:rPr>
                <w:rFonts w:eastAsia="Times New Roman" w:cstheme="minorHAnsi"/>
                <w:lang w:eastAsia="en-IE"/>
              </w:rPr>
            </w:pPr>
            <w:r>
              <w:rPr>
                <w:rFonts w:eastAsia="Times New Roman" w:cstheme="minorHAnsi"/>
                <w:lang w:eastAsia="en-IE"/>
              </w:rPr>
              <w:t>Partially Accepted</w:t>
            </w:r>
          </w:p>
        </w:tc>
        <w:tc>
          <w:tcPr>
            <w:tcW w:w="5325" w:type="dxa"/>
          </w:tcPr>
          <w:p w14:paraId="3BB1FDBB" w14:textId="77777777" w:rsidR="000611A5" w:rsidRPr="00AA6C27" w:rsidRDefault="000611A5" w:rsidP="00265F44">
            <w:pPr>
              <w:rPr>
                <w:rFonts w:eastAsia="Times New Roman" w:cstheme="minorHAnsi"/>
                <w:lang w:eastAsia="en-IE"/>
              </w:rPr>
            </w:pPr>
            <w:r w:rsidRPr="481C100E">
              <w:rPr>
                <w:rFonts w:eastAsiaTheme="minorEastAsia"/>
                <w:lang w:eastAsia="en-IE"/>
              </w:rPr>
              <w:t>The first National Marine Planning Framework, already applies to decision makers and State actors in the marine space</w:t>
            </w:r>
            <w:r>
              <w:rPr>
                <w:rFonts w:eastAsia="Times New Roman" w:cstheme="minorHAnsi"/>
                <w:lang w:eastAsia="en-IE"/>
              </w:rPr>
              <w:t>.  Measures supporting the requirements of the MSFD, such as the achievement and maintenance of Good Environmental Status been expressed in the NMPF.   The Birds, Habitats and EIA Directives are provided for by specific procedures in the proposed amendments to the Planning and Development Act.</w:t>
            </w:r>
          </w:p>
        </w:tc>
        <w:tc>
          <w:tcPr>
            <w:tcW w:w="1701" w:type="dxa"/>
          </w:tcPr>
          <w:p w14:paraId="365FBF68" w14:textId="77777777" w:rsidR="000611A5" w:rsidRPr="481C100E" w:rsidRDefault="000611A5" w:rsidP="00265F44">
            <w:pPr>
              <w:rPr>
                <w:rFonts w:eastAsiaTheme="minorEastAsia"/>
                <w:lang w:eastAsia="en-IE"/>
              </w:rPr>
            </w:pPr>
            <w:r>
              <w:rPr>
                <w:rFonts w:eastAsiaTheme="minorEastAsia"/>
                <w:lang w:eastAsia="en-IE"/>
              </w:rPr>
              <w:t>Part 8</w:t>
            </w:r>
          </w:p>
        </w:tc>
      </w:tr>
      <w:tr w:rsidR="000611A5" w:rsidRPr="00AA6C27" w14:paraId="20293550" w14:textId="77777777" w:rsidTr="000611A5">
        <w:tc>
          <w:tcPr>
            <w:tcW w:w="498" w:type="dxa"/>
          </w:tcPr>
          <w:p w14:paraId="0F9BAA01"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5.</w:t>
            </w:r>
          </w:p>
        </w:tc>
        <w:tc>
          <w:tcPr>
            <w:tcW w:w="5167" w:type="dxa"/>
          </w:tcPr>
          <w:p w14:paraId="61D5AE1F"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A statutory obligation requiring effective and adequate public consultation and participation as required by the Strategic Environmental Assessment Directive and Aarhus Convention, be included in all provisions relating to adoption of programmes of measures, marine spatial plans, and individual Maritime Area Consents.</w:t>
            </w:r>
          </w:p>
        </w:tc>
        <w:tc>
          <w:tcPr>
            <w:tcW w:w="1054" w:type="dxa"/>
          </w:tcPr>
          <w:p w14:paraId="5D85B938" w14:textId="77777777" w:rsidR="000611A5" w:rsidRPr="00645A41" w:rsidRDefault="000611A5" w:rsidP="00645A41">
            <w:pPr>
              <w:rPr>
                <w:rFonts w:eastAsia="Times New Roman" w:cstheme="minorHAnsi"/>
                <w:lang w:eastAsia="en-IE"/>
              </w:rPr>
            </w:pPr>
            <w:r>
              <w:rPr>
                <w:rFonts w:eastAsia="Times New Roman" w:cstheme="minorHAnsi"/>
                <w:lang w:eastAsia="en-IE"/>
              </w:rPr>
              <w:t>Partially Accepted</w:t>
            </w:r>
          </w:p>
        </w:tc>
        <w:tc>
          <w:tcPr>
            <w:tcW w:w="5325" w:type="dxa"/>
          </w:tcPr>
          <w:p w14:paraId="6E1F9100" w14:textId="77777777" w:rsidR="000611A5" w:rsidRDefault="000611A5" w:rsidP="00265F44">
            <w:pPr>
              <w:spacing w:after="160" w:line="259" w:lineRule="auto"/>
              <w:rPr>
                <w:rFonts w:eastAsia="Times New Roman" w:cstheme="minorHAnsi"/>
                <w:lang w:eastAsia="en-IE"/>
              </w:rPr>
            </w:pPr>
            <w:r w:rsidRPr="5120E709">
              <w:rPr>
                <w:rFonts w:eastAsiaTheme="minorEastAsia"/>
                <w:lang w:eastAsia="en-IE"/>
              </w:rPr>
              <w:t>The Bill provides for extensive measures to support the requirements of the SEA Directive and Aarhus Convention. Strategic Environment Assessments, including public participation of</w:t>
            </w:r>
            <w:r w:rsidRPr="00265F44">
              <w:rPr>
                <w:rFonts w:eastAsia="Times New Roman" w:cstheme="minorHAnsi"/>
                <w:lang w:eastAsia="en-IE"/>
              </w:rPr>
              <w:t xml:space="preserve"> various elements, such as DMAPs and Guidelines</w:t>
            </w:r>
            <w:r>
              <w:rPr>
                <w:rFonts w:eastAsia="Times New Roman" w:cstheme="minorHAnsi"/>
                <w:lang w:eastAsia="en-IE"/>
              </w:rPr>
              <w:t xml:space="preserve"> will</w:t>
            </w:r>
            <w:r w:rsidRPr="00265F44">
              <w:rPr>
                <w:rFonts w:eastAsia="Times New Roman" w:cstheme="minorHAnsi"/>
                <w:lang w:eastAsia="en-IE"/>
              </w:rPr>
              <w:t xml:space="preserve"> to be undertaken at the appropriate time as part</w:t>
            </w:r>
            <w:r>
              <w:rPr>
                <w:rFonts w:eastAsia="Times New Roman" w:cstheme="minorHAnsi"/>
                <w:lang w:eastAsia="en-IE"/>
              </w:rPr>
              <w:t xml:space="preserve"> of their development.</w:t>
            </w:r>
          </w:p>
          <w:p w14:paraId="4C0AB046" w14:textId="77777777" w:rsidR="000611A5" w:rsidRDefault="000611A5" w:rsidP="00265F44">
            <w:pPr>
              <w:spacing w:after="160" w:line="259" w:lineRule="auto"/>
              <w:rPr>
                <w:rFonts w:eastAsia="Times New Roman" w:cstheme="minorHAnsi"/>
                <w:lang w:eastAsia="en-IE"/>
              </w:rPr>
            </w:pPr>
            <w:r>
              <w:rPr>
                <w:rFonts w:eastAsia="Times New Roman" w:cstheme="minorHAnsi"/>
                <w:lang w:eastAsia="en-IE"/>
              </w:rPr>
              <w:t xml:space="preserve">Marine Spatial Plans, including DMAPs, are subject to a mandatory Public Participation Statement that will detail the timeframes, procedures and mechanisms for public participation specific to the particular plan in development.  That Statement will be laid before the Oireachtas to assist and enable relevant Oireachtas </w:t>
            </w:r>
            <w:r>
              <w:rPr>
                <w:rFonts w:eastAsia="Times New Roman" w:cstheme="minorHAnsi"/>
                <w:lang w:eastAsia="en-IE"/>
              </w:rPr>
              <w:lastRenderedPageBreak/>
              <w:t xml:space="preserve">Committees to participate and inform the development process.  </w:t>
            </w:r>
          </w:p>
          <w:p w14:paraId="51195042" w14:textId="77777777" w:rsidR="000611A5" w:rsidRDefault="000611A5" w:rsidP="00265F44">
            <w:pPr>
              <w:spacing w:after="160" w:line="259" w:lineRule="auto"/>
              <w:rPr>
                <w:rFonts w:eastAsia="Times New Roman" w:cstheme="minorHAnsi"/>
                <w:lang w:eastAsia="en-IE"/>
              </w:rPr>
            </w:pPr>
            <w:r>
              <w:rPr>
                <w:rFonts w:eastAsia="Times New Roman" w:cstheme="minorHAnsi"/>
                <w:lang w:eastAsia="en-IE"/>
              </w:rPr>
              <w:t>At a project level, the Bill provides for public consultation including, where required, the requisite EIA and AA consultation, within the planning permission and licensing processes.</w:t>
            </w:r>
          </w:p>
          <w:p w14:paraId="5328E438" w14:textId="77777777" w:rsidR="000611A5" w:rsidRDefault="000611A5" w:rsidP="00A90BFD">
            <w:pPr>
              <w:spacing w:after="160" w:line="259" w:lineRule="auto"/>
              <w:rPr>
                <w:rFonts w:eastAsia="Times New Roman" w:cstheme="minorHAnsi"/>
                <w:lang w:eastAsia="en-IE"/>
              </w:rPr>
            </w:pPr>
            <w:r>
              <w:rPr>
                <w:rFonts w:eastAsia="Times New Roman" w:cstheme="minorHAnsi"/>
                <w:lang w:eastAsia="en-IE"/>
              </w:rPr>
              <w:t>The MAC process relates primarily to due diligence on the “fit and proper” nature of applicants and the financial terms to apply to the permission for occupation.  MAC grants will be subject to securing planning permission where the project detail and environmental impacts will be assessed.</w:t>
            </w:r>
          </w:p>
          <w:p w14:paraId="62C815ED" w14:textId="77777777" w:rsidR="000611A5" w:rsidRPr="00AA6C27" w:rsidRDefault="000611A5" w:rsidP="00A90BFD">
            <w:pPr>
              <w:spacing w:after="160" w:line="259" w:lineRule="auto"/>
              <w:rPr>
                <w:rFonts w:eastAsia="Times New Roman" w:cstheme="minorHAnsi"/>
                <w:lang w:eastAsia="en-IE"/>
              </w:rPr>
            </w:pPr>
            <w:r w:rsidRPr="1C770AAC">
              <w:rPr>
                <w:rFonts w:eastAsiaTheme="minorEastAsia"/>
                <w:lang w:eastAsia="en-IE"/>
              </w:rPr>
              <w:t>It is therefore not appropriate to apply an additional level of public consultation element to the MAC procedure.  T</w:t>
            </w:r>
            <w:r>
              <w:rPr>
                <w:rFonts w:eastAsia="Times New Roman" w:cstheme="minorHAnsi"/>
                <w:lang w:eastAsia="en-IE"/>
              </w:rPr>
              <w:t>o do so would recreate the inefficient, duplicative and burdensome regime that the Bill seeks to replace.</w:t>
            </w:r>
          </w:p>
        </w:tc>
        <w:tc>
          <w:tcPr>
            <w:tcW w:w="1701" w:type="dxa"/>
          </w:tcPr>
          <w:p w14:paraId="30FE2048" w14:textId="77777777" w:rsidR="000611A5" w:rsidRPr="5120E709" w:rsidRDefault="000611A5" w:rsidP="00265F44">
            <w:pPr>
              <w:rPr>
                <w:rFonts w:eastAsiaTheme="minorEastAsia"/>
                <w:lang w:eastAsia="en-IE"/>
              </w:rPr>
            </w:pPr>
            <w:r>
              <w:rPr>
                <w:rFonts w:eastAsiaTheme="minorEastAsia"/>
                <w:lang w:eastAsia="en-IE"/>
              </w:rPr>
              <w:lastRenderedPageBreak/>
              <w:t>Part 2, Part 4</w:t>
            </w:r>
          </w:p>
        </w:tc>
      </w:tr>
      <w:tr w:rsidR="000611A5" w:rsidRPr="00AA6C27" w14:paraId="56E79F4A" w14:textId="77777777" w:rsidTr="000611A5">
        <w:tc>
          <w:tcPr>
            <w:tcW w:w="498" w:type="dxa"/>
          </w:tcPr>
          <w:p w14:paraId="67EEF8A8"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6.</w:t>
            </w:r>
          </w:p>
        </w:tc>
        <w:tc>
          <w:tcPr>
            <w:tcW w:w="5167" w:type="dxa"/>
          </w:tcPr>
          <w:p w14:paraId="55C62085"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The bill provide for the refusal of Maritime Area Consent where an adequate level of public participation and consultation has not been met.</w:t>
            </w:r>
          </w:p>
        </w:tc>
        <w:tc>
          <w:tcPr>
            <w:tcW w:w="1054" w:type="dxa"/>
          </w:tcPr>
          <w:p w14:paraId="2CDA5FD7" w14:textId="77777777" w:rsidR="000611A5" w:rsidRPr="00645A41" w:rsidRDefault="000611A5" w:rsidP="00357164">
            <w:pPr>
              <w:rPr>
                <w:rFonts w:eastAsia="Times New Roman" w:cstheme="minorHAnsi"/>
                <w:lang w:eastAsia="en-IE"/>
              </w:rPr>
            </w:pPr>
            <w:r>
              <w:rPr>
                <w:rFonts w:eastAsia="Times New Roman" w:cstheme="minorHAnsi"/>
                <w:lang w:eastAsia="en-IE"/>
              </w:rPr>
              <w:t>Accepted</w:t>
            </w:r>
          </w:p>
        </w:tc>
        <w:tc>
          <w:tcPr>
            <w:tcW w:w="5325" w:type="dxa"/>
          </w:tcPr>
          <w:p w14:paraId="509B868F" w14:textId="77777777" w:rsidR="000611A5" w:rsidRDefault="000611A5" w:rsidP="00357164">
            <w:pPr>
              <w:spacing w:after="160" w:line="259" w:lineRule="auto"/>
              <w:rPr>
                <w:rFonts w:eastAsia="Times New Roman" w:cstheme="minorHAnsi"/>
                <w:lang w:eastAsia="en-IE"/>
              </w:rPr>
            </w:pPr>
            <w:r>
              <w:rPr>
                <w:rFonts w:eastAsia="Times New Roman" w:cstheme="minorHAnsi"/>
                <w:lang w:eastAsia="en-IE"/>
              </w:rPr>
              <w:t>The level of engagement by applicants with potentially impacted stakeholders is a key MAC assessment criterion. The MAC process will not consider directly matters raised that are appropriate to the planning permission application process.   The process is intended to help ensure that the public is involved at the early conceptual stages of project design with a view to incorporating or resolving issues before any applications are made.</w:t>
            </w:r>
          </w:p>
          <w:p w14:paraId="7985F26A" w14:textId="77777777" w:rsidR="000611A5" w:rsidRPr="00377B3A" w:rsidDel="00C86F4E" w:rsidRDefault="000611A5" w:rsidP="00357164">
            <w:pPr>
              <w:spacing w:after="160" w:line="259" w:lineRule="auto"/>
              <w:rPr>
                <w:rFonts w:eastAsia="Times New Roman" w:cstheme="minorHAnsi"/>
                <w:i/>
                <w:lang w:eastAsia="en-IE"/>
              </w:rPr>
            </w:pPr>
            <w:r>
              <w:rPr>
                <w:rFonts w:eastAsia="Times New Roman" w:cstheme="minorHAnsi"/>
                <w:lang w:eastAsia="en-IE"/>
              </w:rPr>
              <w:t xml:space="preserve">The precise nature and detail of that engagement will be project type specific and consideration of the level will </w:t>
            </w:r>
            <w:r>
              <w:rPr>
                <w:rFonts w:eastAsia="Times New Roman" w:cstheme="minorHAnsi"/>
                <w:lang w:eastAsia="en-IE"/>
              </w:rPr>
              <w:lastRenderedPageBreak/>
              <w:t>be proportionate to the scale and scope of the particular proposal.</w:t>
            </w:r>
          </w:p>
          <w:p w14:paraId="22B1BDE0" w14:textId="77777777" w:rsidR="000611A5" w:rsidRPr="00AA6C27" w:rsidRDefault="000611A5" w:rsidP="00357164">
            <w:pPr>
              <w:spacing w:after="160" w:line="259" w:lineRule="auto"/>
              <w:rPr>
                <w:rFonts w:eastAsia="Times New Roman" w:cstheme="minorHAnsi"/>
                <w:lang w:eastAsia="en-IE"/>
              </w:rPr>
            </w:pPr>
          </w:p>
        </w:tc>
        <w:tc>
          <w:tcPr>
            <w:tcW w:w="1701" w:type="dxa"/>
          </w:tcPr>
          <w:p w14:paraId="17CE0D79" w14:textId="77777777" w:rsidR="000611A5" w:rsidRDefault="000611A5" w:rsidP="00357164">
            <w:pPr>
              <w:rPr>
                <w:rFonts w:eastAsia="Times New Roman" w:cstheme="minorHAnsi"/>
                <w:lang w:eastAsia="en-IE"/>
              </w:rPr>
            </w:pPr>
            <w:r>
              <w:rPr>
                <w:rFonts w:eastAsia="Times New Roman" w:cstheme="minorHAnsi"/>
                <w:lang w:eastAsia="en-IE"/>
              </w:rPr>
              <w:lastRenderedPageBreak/>
              <w:t>Part 4</w:t>
            </w:r>
          </w:p>
        </w:tc>
      </w:tr>
      <w:tr w:rsidR="000611A5" w:rsidRPr="00AA6C27" w14:paraId="435F4295" w14:textId="77777777" w:rsidTr="000611A5">
        <w:tc>
          <w:tcPr>
            <w:tcW w:w="498" w:type="dxa"/>
          </w:tcPr>
          <w:p w14:paraId="0ED6CCE7"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7.</w:t>
            </w:r>
          </w:p>
        </w:tc>
        <w:tc>
          <w:tcPr>
            <w:tcW w:w="5167" w:type="dxa"/>
          </w:tcPr>
          <w:p w14:paraId="617F666C"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The bill provide for enhanced public consultation measures surrounding the notification of the public in relation to the adoption of marine protected area designations, the drawing up of marine spatial plans, the designation of strategic marine activity zones and the determination of applications for planning permission or consent. This should include notifying the wider public of any developments and should not be confined solely to the locality in which the development is being proposed. Measures employed should include electronic means via websites and social media, as well as traditional media such as various national and local newspapers. Time periods for public participation should allow the public sufficient time to plan and participate effectively and in recognition of the volumes and complexity of information involved.</w:t>
            </w:r>
          </w:p>
        </w:tc>
        <w:tc>
          <w:tcPr>
            <w:tcW w:w="1054" w:type="dxa"/>
          </w:tcPr>
          <w:p w14:paraId="6F893963" w14:textId="77777777" w:rsidR="000611A5" w:rsidRPr="00645A41" w:rsidRDefault="000611A5" w:rsidP="00357164">
            <w:pPr>
              <w:rPr>
                <w:rFonts w:eastAsia="Times New Roman" w:cstheme="minorHAnsi"/>
                <w:lang w:eastAsia="en-IE"/>
              </w:rPr>
            </w:pPr>
            <w:r>
              <w:rPr>
                <w:rFonts w:eastAsia="Times New Roman" w:cstheme="minorHAnsi"/>
                <w:lang w:eastAsia="en-IE"/>
              </w:rPr>
              <w:t>Accepted</w:t>
            </w:r>
          </w:p>
        </w:tc>
        <w:tc>
          <w:tcPr>
            <w:tcW w:w="5325" w:type="dxa"/>
          </w:tcPr>
          <w:p w14:paraId="7E6B8A57" w14:textId="77777777" w:rsidR="000611A5" w:rsidRDefault="000611A5" w:rsidP="00357164">
            <w:pPr>
              <w:spacing w:after="160" w:line="259" w:lineRule="auto"/>
              <w:rPr>
                <w:rFonts w:eastAsia="Times New Roman" w:cstheme="minorHAnsi"/>
                <w:lang w:eastAsia="en-IE"/>
              </w:rPr>
            </w:pPr>
            <w:r>
              <w:rPr>
                <w:rFonts w:eastAsia="Times New Roman" w:cstheme="minorHAnsi"/>
                <w:lang w:eastAsia="en-IE"/>
              </w:rPr>
              <w:t xml:space="preserve">As above in the response to recommendation 5, Marine spatial plans, including DMAPS which replace the proposed </w:t>
            </w:r>
            <w:r w:rsidRPr="00AA6C27">
              <w:rPr>
                <w:rFonts w:eastAsia="Times New Roman" w:cstheme="minorHAnsi"/>
                <w:lang w:eastAsia="en-IE"/>
              </w:rPr>
              <w:t>strategic marine activity zones</w:t>
            </w:r>
            <w:r>
              <w:rPr>
                <w:rFonts w:eastAsia="Times New Roman" w:cstheme="minorHAnsi"/>
                <w:lang w:eastAsia="en-IE"/>
              </w:rPr>
              <w:t>, will be subject to a mandatory Public Participation Statement in which such detail relating to a specific plan will be clearly laid out.</w:t>
            </w:r>
          </w:p>
          <w:p w14:paraId="7EA723B6" w14:textId="77777777" w:rsidR="000611A5" w:rsidRDefault="000611A5" w:rsidP="00357164">
            <w:pPr>
              <w:spacing w:after="160" w:line="259" w:lineRule="auto"/>
              <w:rPr>
                <w:rFonts w:eastAsia="Times New Roman" w:cstheme="minorHAnsi"/>
                <w:lang w:eastAsia="en-IE"/>
              </w:rPr>
            </w:pPr>
          </w:p>
          <w:p w14:paraId="6D1203E9" w14:textId="77777777" w:rsidR="000611A5" w:rsidRPr="00AA6C27" w:rsidRDefault="000611A5" w:rsidP="00A32B57">
            <w:pPr>
              <w:spacing w:after="160" w:line="259" w:lineRule="auto"/>
              <w:rPr>
                <w:rFonts w:eastAsia="Times New Roman" w:cstheme="minorHAnsi"/>
                <w:lang w:eastAsia="en-IE"/>
              </w:rPr>
            </w:pPr>
            <w:r>
              <w:rPr>
                <w:rFonts w:eastAsia="Times New Roman" w:cstheme="minorHAnsi"/>
                <w:lang w:eastAsia="en-IE"/>
              </w:rPr>
              <w:t xml:space="preserve">With respect to the planning application processes provided for in the Bill, the requirement for the publication of a newspaper notice for each application is widened to include national newspapers. </w:t>
            </w:r>
          </w:p>
        </w:tc>
        <w:tc>
          <w:tcPr>
            <w:tcW w:w="1701" w:type="dxa"/>
          </w:tcPr>
          <w:p w14:paraId="672CF927" w14:textId="77777777" w:rsidR="000611A5" w:rsidRDefault="000611A5" w:rsidP="00357164">
            <w:pPr>
              <w:rPr>
                <w:rFonts w:eastAsia="Times New Roman" w:cstheme="minorHAnsi"/>
                <w:lang w:eastAsia="en-IE"/>
              </w:rPr>
            </w:pPr>
            <w:r>
              <w:rPr>
                <w:rFonts w:eastAsia="Times New Roman" w:cstheme="minorHAnsi"/>
                <w:lang w:eastAsia="en-IE"/>
              </w:rPr>
              <w:t>Part 2</w:t>
            </w:r>
          </w:p>
        </w:tc>
      </w:tr>
      <w:tr w:rsidR="000611A5" w:rsidRPr="00AA6C27" w14:paraId="6597132A" w14:textId="77777777" w:rsidTr="000611A5">
        <w:tc>
          <w:tcPr>
            <w:tcW w:w="498" w:type="dxa"/>
          </w:tcPr>
          <w:p w14:paraId="388A19CF"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8.</w:t>
            </w:r>
          </w:p>
        </w:tc>
        <w:tc>
          <w:tcPr>
            <w:tcW w:w="5167" w:type="dxa"/>
          </w:tcPr>
          <w:p w14:paraId="250CDF36"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The regulation and management of aquaculture be provided for in the bill.</w:t>
            </w:r>
          </w:p>
        </w:tc>
        <w:tc>
          <w:tcPr>
            <w:tcW w:w="1054" w:type="dxa"/>
          </w:tcPr>
          <w:p w14:paraId="79DBD941" w14:textId="77777777" w:rsidR="000611A5" w:rsidRPr="00645A41" w:rsidRDefault="000611A5" w:rsidP="00357164">
            <w:pPr>
              <w:rPr>
                <w:rFonts w:eastAsia="Times New Roman" w:cstheme="minorHAnsi"/>
                <w:lang w:eastAsia="en-IE"/>
              </w:rPr>
            </w:pPr>
            <w:r>
              <w:rPr>
                <w:rFonts w:eastAsia="Times New Roman" w:cstheme="minorHAnsi"/>
                <w:lang w:eastAsia="en-IE"/>
              </w:rPr>
              <w:t>Partially Accepted</w:t>
            </w:r>
          </w:p>
        </w:tc>
        <w:tc>
          <w:tcPr>
            <w:tcW w:w="5325" w:type="dxa"/>
          </w:tcPr>
          <w:p w14:paraId="022A8D20" w14:textId="77777777" w:rsidR="000611A5" w:rsidRDefault="000611A5" w:rsidP="00377B3A">
            <w:r>
              <w:t>The consent regimes set out in MAP provides a platform for consolidation of other marine consenting functions. Government decision of June 2021 has committed all Government Departments with a marine consenting regime not included in this Bill, including aquaculture, to review their regime with a view to considering incorporating the function into the MAP regime. The outcome of those reviews will be subject to Government decision.</w:t>
            </w:r>
          </w:p>
          <w:p w14:paraId="3574B781" w14:textId="77777777" w:rsidR="000611A5" w:rsidRPr="00AA6C27" w:rsidRDefault="000611A5" w:rsidP="00357164">
            <w:pPr>
              <w:spacing w:after="160" w:line="259" w:lineRule="auto"/>
              <w:rPr>
                <w:rFonts w:eastAsia="Times New Roman" w:cstheme="minorHAnsi"/>
                <w:lang w:eastAsia="en-IE"/>
              </w:rPr>
            </w:pPr>
          </w:p>
        </w:tc>
        <w:tc>
          <w:tcPr>
            <w:tcW w:w="1701" w:type="dxa"/>
          </w:tcPr>
          <w:p w14:paraId="59B09027" w14:textId="77777777" w:rsidR="000611A5" w:rsidRDefault="00586DDC" w:rsidP="00377B3A">
            <w:r>
              <w:lastRenderedPageBreak/>
              <w:t>N/A</w:t>
            </w:r>
          </w:p>
        </w:tc>
      </w:tr>
      <w:tr w:rsidR="000611A5" w:rsidRPr="00AA6C27" w14:paraId="0C6C1DF6" w14:textId="77777777" w:rsidTr="000611A5">
        <w:tc>
          <w:tcPr>
            <w:tcW w:w="498" w:type="dxa"/>
          </w:tcPr>
          <w:p w14:paraId="6FC71AC8"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9</w:t>
            </w:r>
          </w:p>
        </w:tc>
        <w:tc>
          <w:tcPr>
            <w:tcW w:w="5167" w:type="dxa"/>
          </w:tcPr>
          <w:p w14:paraId="445B5368"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Alternatively, that the spatial planning for aquaculture be provided for in the bill, in order to meet the requirements of the Maritime Spatial Planning Directive that consent can only be granted in areas that are designated as suitable in the spatial plan, and to provide for overall compatibility and compliance of marine planning and consents.</w:t>
            </w:r>
          </w:p>
        </w:tc>
        <w:tc>
          <w:tcPr>
            <w:tcW w:w="1054" w:type="dxa"/>
          </w:tcPr>
          <w:p w14:paraId="7E9B9438" w14:textId="77777777" w:rsidR="000611A5" w:rsidRPr="00645A41" w:rsidRDefault="000611A5" w:rsidP="00645A41">
            <w:pPr>
              <w:rPr>
                <w:rFonts w:eastAsia="Times New Roman" w:cstheme="minorHAnsi"/>
                <w:lang w:eastAsia="en-IE"/>
              </w:rPr>
            </w:pPr>
            <w:r>
              <w:rPr>
                <w:rFonts w:eastAsia="Times New Roman" w:cstheme="minorHAnsi"/>
                <w:lang w:eastAsia="en-IE"/>
              </w:rPr>
              <w:t>Accepted</w:t>
            </w:r>
          </w:p>
        </w:tc>
        <w:tc>
          <w:tcPr>
            <w:tcW w:w="5325" w:type="dxa"/>
          </w:tcPr>
          <w:p w14:paraId="31922793" w14:textId="77777777" w:rsidR="000611A5" w:rsidRPr="00AA6C27" w:rsidRDefault="000611A5" w:rsidP="00A32B57">
            <w:pPr>
              <w:spacing w:after="160" w:line="259" w:lineRule="auto"/>
              <w:rPr>
                <w:rFonts w:eastAsia="Times New Roman" w:cstheme="minorHAnsi"/>
                <w:lang w:eastAsia="en-IE"/>
              </w:rPr>
            </w:pPr>
            <w:r>
              <w:rPr>
                <w:rFonts w:eastAsia="Times New Roman" w:cstheme="minorHAnsi"/>
                <w:lang w:eastAsia="en-IE"/>
              </w:rPr>
              <w:t>The National Marine Planning Framework already</w:t>
            </w:r>
            <w:r w:rsidR="007055D1">
              <w:rPr>
                <w:rFonts w:eastAsia="Times New Roman" w:cstheme="minorHAnsi"/>
                <w:lang w:eastAsia="en-IE"/>
              </w:rPr>
              <w:t xml:space="preserve"> applies</w:t>
            </w:r>
            <w:r>
              <w:rPr>
                <w:rFonts w:eastAsia="Times New Roman" w:cstheme="minorHAnsi"/>
                <w:lang w:eastAsia="en-IE"/>
              </w:rPr>
              <w:t xml:space="preserve"> to aquaculture licensing.   Spatial designations will be considered as part of a DMAP process.  The DMAP provisions are sufficiently flexible to develop plans on a regional, local or sectoral basis.</w:t>
            </w:r>
          </w:p>
        </w:tc>
        <w:tc>
          <w:tcPr>
            <w:tcW w:w="1701" w:type="dxa"/>
          </w:tcPr>
          <w:p w14:paraId="4F04F65D" w14:textId="77777777" w:rsidR="000611A5" w:rsidRDefault="000611A5" w:rsidP="00A32B57">
            <w:pPr>
              <w:rPr>
                <w:rFonts w:eastAsia="Times New Roman" w:cstheme="minorHAnsi"/>
                <w:lang w:eastAsia="en-IE"/>
              </w:rPr>
            </w:pPr>
            <w:r>
              <w:rPr>
                <w:rFonts w:eastAsia="Times New Roman" w:cstheme="minorHAnsi"/>
                <w:lang w:eastAsia="en-IE"/>
              </w:rPr>
              <w:t>Part 2</w:t>
            </w:r>
          </w:p>
        </w:tc>
      </w:tr>
      <w:tr w:rsidR="000611A5" w:rsidRPr="00AA6C27" w14:paraId="534012F2" w14:textId="77777777" w:rsidTr="000611A5">
        <w:tc>
          <w:tcPr>
            <w:tcW w:w="498" w:type="dxa"/>
          </w:tcPr>
          <w:p w14:paraId="2AC6277B"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10.</w:t>
            </w:r>
          </w:p>
        </w:tc>
        <w:tc>
          <w:tcPr>
            <w:tcW w:w="5167" w:type="dxa"/>
          </w:tcPr>
          <w:p w14:paraId="0EE56D9B"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The bill be proofed to ensure full compliance and compatibility with The Marine Strategy Framework Directive, Environmental Impact Assessment Directive, Habitats Directive, Birds Directive, Water Framework Directive, Shellfish Waters Directive, Bathing Waters Directive, Waste Framework Directive, Maritime Spatial Planning Directive, measures implementing those Directives, and the Dumping at Sea Act and Sea Pollution Act.</w:t>
            </w:r>
          </w:p>
        </w:tc>
        <w:tc>
          <w:tcPr>
            <w:tcW w:w="1054" w:type="dxa"/>
          </w:tcPr>
          <w:p w14:paraId="12AA9792" w14:textId="77777777" w:rsidR="000611A5" w:rsidRPr="00645A41" w:rsidRDefault="000611A5" w:rsidP="00357164">
            <w:pPr>
              <w:rPr>
                <w:rFonts w:eastAsia="Times New Roman" w:cstheme="minorHAnsi"/>
                <w:lang w:eastAsia="en-IE"/>
              </w:rPr>
            </w:pPr>
            <w:r>
              <w:rPr>
                <w:rFonts w:eastAsia="Times New Roman" w:cstheme="minorHAnsi"/>
                <w:lang w:eastAsia="en-IE"/>
              </w:rPr>
              <w:t>Accepted</w:t>
            </w:r>
          </w:p>
        </w:tc>
        <w:tc>
          <w:tcPr>
            <w:tcW w:w="5325" w:type="dxa"/>
          </w:tcPr>
          <w:p w14:paraId="358581B9" w14:textId="77777777" w:rsidR="000611A5" w:rsidRPr="00AA6C27" w:rsidRDefault="000611A5" w:rsidP="00190E8F">
            <w:pPr>
              <w:spacing w:after="160" w:line="259" w:lineRule="auto"/>
              <w:rPr>
                <w:rFonts w:eastAsia="Times New Roman" w:cstheme="minorHAnsi"/>
                <w:lang w:eastAsia="en-IE"/>
              </w:rPr>
            </w:pPr>
            <w:r w:rsidRPr="1C770AAC">
              <w:rPr>
                <w:rFonts w:eastAsiaTheme="minorEastAsia"/>
                <w:lang w:eastAsia="en-IE"/>
              </w:rPr>
              <w:t>The Bill sets out the procedures for the preparation of forward plans</w:t>
            </w:r>
            <w:r w:rsidRPr="00AA6C27">
              <w:rPr>
                <w:rFonts w:eastAsia="Times New Roman" w:cstheme="minorHAnsi"/>
                <w:lang w:eastAsia="en-IE"/>
              </w:rPr>
              <w:t xml:space="preserve"> </w:t>
            </w:r>
            <w:r>
              <w:rPr>
                <w:rFonts w:eastAsia="Times New Roman" w:cstheme="minorHAnsi"/>
                <w:lang w:eastAsia="en-IE"/>
              </w:rPr>
              <w:t xml:space="preserve">and project level assessments through MACs, licensing and planning permission.  The obligations on competent authorities, state actors and decision makers resulting from the wide range of Directive and legislation referenced in the recommendation continue as now and will be taken into consideration, where appropriate to the measure, directive or legislation in the context of a particular project assessment or development of a plan. </w:t>
            </w:r>
            <w:r w:rsidRPr="00AA6C27">
              <w:rPr>
                <w:rFonts w:eastAsia="Times New Roman" w:cstheme="minorHAnsi"/>
                <w:lang w:eastAsia="en-IE"/>
              </w:rPr>
              <w:t xml:space="preserve"> </w:t>
            </w:r>
          </w:p>
        </w:tc>
        <w:tc>
          <w:tcPr>
            <w:tcW w:w="1701" w:type="dxa"/>
          </w:tcPr>
          <w:p w14:paraId="5DCE6D33" w14:textId="77777777" w:rsidR="000611A5" w:rsidRPr="1C770AAC" w:rsidRDefault="000611A5" w:rsidP="00190E8F">
            <w:pPr>
              <w:rPr>
                <w:rFonts w:eastAsiaTheme="minorEastAsia"/>
                <w:lang w:eastAsia="en-IE"/>
              </w:rPr>
            </w:pPr>
            <w:r>
              <w:rPr>
                <w:rFonts w:eastAsiaTheme="minorEastAsia"/>
                <w:lang w:eastAsia="en-IE"/>
              </w:rPr>
              <w:t>Part 2, Part 4, Part 5</w:t>
            </w:r>
          </w:p>
        </w:tc>
      </w:tr>
      <w:tr w:rsidR="000611A5" w:rsidRPr="00AA6C27" w14:paraId="65CB3FA7" w14:textId="77777777" w:rsidTr="000611A5">
        <w:tc>
          <w:tcPr>
            <w:tcW w:w="498" w:type="dxa"/>
          </w:tcPr>
          <w:p w14:paraId="5C23AA73"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11.</w:t>
            </w:r>
          </w:p>
        </w:tc>
        <w:tc>
          <w:tcPr>
            <w:tcW w:w="5167" w:type="dxa"/>
          </w:tcPr>
          <w:p w14:paraId="5F4EE421"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The Department of Housing, Local Government and Heritage together with the Department of the Environment, Climate and Communications and the Department of Further and Higher Education, Research, Innovation and Science, engage with education institutes and industry bodies with a view to developing and implementing a range of courses and apprenticeships to address potential future skills shortages in the Offshore Renewable Energy sector.</w:t>
            </w:r>
          </w:p>
        </w:tc>
        <w:tc>
          <w:tcPr>
            <w:tcW w:w="1054" w:type="dxa"/>
          </w:tcPr>
          <w:p w14:paraId="7092A478" w14:textId="77777777" w:rsidR="000611A5" w:rsidRPr="000736E6" w:rsidRDefault="000611A5" w:rsidP="000736E6">
            <w:pPr>
              <w:rPr>
                <w:rFonts w:eastAsia="Times New Roman" w:cstheme="minorHAnsi"/>
                <w:lang w:eastAsia="en-IE"/>
              </w:rPr>
            </w:pPr>
            <w:r>
              <w:rPr>
                <w:rFonts w:eastAsia="Times New Roman" w:cstheme="minorHAnsi"/>
                <w:lang w:eastAsia="en-IE"/>
              </w:rPr>
              <w:t>Accepted</w:t>
            </w:r>
          </w:p>
        </w:tc>
        <w:tc>
          <w:tcPr>
            <w:tcW w:w="5325" w:type="dxa"/>
          </w:tcPr>
          <w:p w14:paraId="44BC91AB" w14:textId="77777777" w:rsidR="000611A5" w:rsidRDefault="000611A5" w:rsidP="000A2AD8">
            <w:pPr>
              <w:spacing w:after="160" w:line="259" w:lineRule="auto"/>
              <w:rPr>
                <w:rFonts w:eastAsia="Times New Roman" w:cstheme="minorHAnsi"/>
                <w:lang w:eastAsia="en-IE"/>
              </w:rPr>
            </w:pPr>
            <w:r w:rsidRPr="1C770AAC">
              <w:rPr>
                <w:rFonts w:eastAsiaTheme="minorEastAsia"/>
                <w:lang w:eastAsia="en-IE"/>
              </w:rPr>
              <w:t>A "top team" to this effect is in the process of being established, with membership from academia and the Departments mentioned, and with the addition of the Department of Enterprise, Trade and Employment and also Enterprise Ireland.</w:t>
            </w:r>
          </w:p>
          <w:p w14:paraId="112D338D" w14:textId="77777777" w:rsidR="000611A5" w:rsidRPr="00AA6C27" w:rsidRDefault="000611A5" w:rsidP="000A2AD8">
            <w:pPr>
              <w:spacing w:after="160" w:line="259" w:lineRule="auto"/>
              <w:rPr>
                <w:rFonts w:eastAsia="Times New Roman" w:cstheme="minorHAnsi"/>
                <w:lang w:eastAsia="en-IE"/>
              </w:rPr>
            </w:pPr>
            <w:r>
              <w:rPr>
                <w:rFonts w:eastAsia="Times New Roman" w:cstheme="minorHAnsi"/>
                <w:lang w:eastAsia="en-IE"/>
              </w:rPr>
              <w:t>The Expert Group on Future Skills Needs (EGFSN), chaired by DETE, will shortly publish a report, Skills for the Low Carbon Economy, which will support the work of the top team.</w:t>
            </w:r>
          </w:p>
        </w:tc>
        <w:tc>
          <w:tcPr>
            <w:tcW w:w="1701" w:type="dxa"/>
          </w:tcPr>
          <w:p w14:paraId="0E1F6751" w14:textId="77777777" w:rsidR="000611A5" w:rsidRPr="1C770AAC" w:rsidRDefault="00586DDC" w:rsidP="000A2AD8">
            <w:pPr>
              <w:rPr>
                <w:rFonts w:eastAsiaTheme="minorEastAsia"/>
                <w:lang w:eastAsia="en-IE"/>
              </w:rPr>
            </w:pPr>
            <w:r>
              <w:rPr>
                <w:rFonts w:eastAsiaTheme="minorEastAsia"/>
                <w:lang w:eastAsia="en-IE"/>
              </w:rPr>
              <w:t>N/A</w:t>
            </w:r>
          </w:p>
        </w:tc>
      </w:tr>
      <w:tr w:rsidR="000611A5" w:rsidRPr="00AA6C27" w14:paraId="79E630C3" w14:textId="77777777" w:rsidTr="000611A5">
        <w:tc>
          <w:tcPr>
            <w:tcW w:w="498" w:type="dxa"/>
          </w:tcPr>
          <w:p w14:paraId="4155D078"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lastRenderedPageBreak/>
              <w:t>12.</w:t>
            </w:r>
          </w:p>
        </w:tc>
        <w:tc>
          <w:tcPr>
            <w:tcW w:w="5167" w:type="dxa"/>
          </w:tcPr>
          <w:p w14:paraId="142B6D87"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Consideration be given to the introduction of local employment and training clauses for large developments to ensure community gain.</w:t>
            </w:r>
          </w:p>
        </w:tc>
        <w:tc>
          <w:tcPr>
            <w:tcW w:w="1054" w:type="dxa"/>
          </w:tcPr>
          <w:p w14:paraId="61159707" w14:textId="77777777" w:rsidR="000611A5" w:rsidRPr="000736E6" w:rsidRDefault="000611A5" w:rsidP="003A0F3F">
            <w:pPr>
              <w:rPr>
                <w:rFonts w:eastAsia="Times New Roman" w:cstheme="minorHAnsi"/>
                <w:lang w:eastAsia="en-IE"/>
              </w:rPr>
            </w:pPr>
            <w:r>
              <w:rPr>
                <w:rFonts w:eastAsia="Times New Roman" w:cstheme="minorHAnsi"/>
                <w:lang w:eastAsia="en-IE"/>
              </w:rPr>
              <w:t>Partially Accepted</w:t>
            </w:r>
          </w:p>
        </w:tc>
        <w:tc>
          <w:tcPr>
            <w:tcW w:w="5325" w:type="dxa"/>
          </w:tcPr>
          <w:p w14:paraId="144FD039" w14:textId="77777777" w:rsidR="000611A5" w:rsidRDefault="000611A5" w:rsidP="000736E6">
            <w:pPr>
              <w:spacing w:after="160" w:line="259" w:lineRule="auto"/>
              <w:rPr>
                <w:rFonts w:eastAsia="Times New Roman" w:cstheme="minorHAnsi"/>
                <w:lang w:eastAsia="en-IE"/>
              </w:rPr>
            </w:pPr>
            <w:r>
              <w:rPr>
                <w:rFonts w:eastAsia="Times New Roman" w:cstheme="minorHAnsi"/>
                <w:lang w:eastAsia="en-IE"/>
              </w:rPr>
              <w:t xml:space="preserve">When determining large-scale planning application, An Board </w:t>
            </w:r>
            <w:proofErr w:type="spellStart"/>
            <w:r>
              <w:rPr>
                <w:rFonts w:eastAsia="Times New Roman" w:cstheme="minorHAnsi"/>
                <w:lang w:eastAsia="en-IE"/>
              </w:rPr>
              <w:t>Pleanála</w:t>
            </w:r>
            <w:proofErr w:type="spellEnd"/>
            <w:r>
              <w:rPr>
                <w:rFonts w:eastAsia="Times New Roman" w:cstheme="minorHAnsi"/>
                <w:lang w:eastAsia="en-IE"/>
              </w:rPr>
              <w:t xml:space="preserve"> will be able to condition community gain in much the same way as it currently does with Strategic Infrastructure Developments.</w:t>
            </w:r>
          </w:p>
          <w:p w14:paraId="54F3C4AA" w14:textId="77777777" w:rsidR="000611A5" w:rsidRDefault="000611A5" w:rsidP="000736E6">
            <w:pPr>
              <w:spacing w:after="160" w:line="259" w:lineRule="auto"/>
              <w:rPr>
                <w:rFonts w:eastAsia="Times New Roman" w:cstheme="minorHAnsi"/>
                <w:lang w:eastAsia="en-IE"/>
              </w:rPr>
            </w:pPr>
            <w:r>
              <w:rPr>
                <w:rFonts w:eastAsia="Times New Roman" w:cstheme="minorHAnsi"/>
                <w:lang w:eastAsia="en-IE"/>
              </w:rPr>
              <w:t>With regard to offshore wind developments supported under the Renewable Electricity Support Scheme (RESS), in order to capture the maximum economic benefit for hosting local communities, the draft terms and conditions for the first offshore auction under the scheme (ORESS 1) propose that operation and maintenance facilities are required to be headquartered in an Irish port. A public consultation on these terms and conditions will be launched later this month [Sept]. The accompanying consultation paper will specifically call for evidence regarding the potential impact and effectiveness of a local employment and training clause.</w:t>
            </w:r>
          </w:p>
          <w:p w14:paraId="26CCA32C" w14:textId="77777777" w:rsidR="000611A5" w:rsidRPr="00AA6C27" w:rsidRDefault="000611A5" w:rsidP="000736E6">
            <w:pPr>
              <w:spacing w:after="160" w:line="259" w:lineRule="auto"/>
              <w:rPr>
                <w:rFonts w:eastAsia="Times New Roman" w:cstheme="minorHAnsi"/>
                <w:lang w:eastAsia="en-IE"/>
              </w:rPr>
            </w:pPr>
          </w:p>
        </w:tc>
        <w:tc>
          <w:tcPr>
            <w:tcW w:w="1701" w:type="dxa"/>
          </w:tcPr>
          <w:p w14:paraId="139C9AAA" w14:textId="77777777" w:rsidR="000611A5" w:rsidRDefault="00586DDC" w:rsidP="000736E6">
            <w:pPr>
              <w:rPr>
                <w:rFonts w:eastAsia="Times New Roman" w:cstheme="minorHAnsi"/>
                <w:lang w:eastAsia="en-IE"/>
              </w:rPr>
            </w:pPr>
            <w:r>
              <w:rPr>
                <w:rFonts w:eastAsia="Times New Roman" w:cstheme="minorHAnsi"/>
                <w:lang w:eastAsia="en-IE"/>
              </w:rPr>
              <w:t>Planning and Development Act 2000</w:t>
            </w:r>
          </w:p>
        </w:tc>
      </w:tr>
      <w:tr w:rsidR="000611A5" w:rsidRPr="00AA6C27" w14:paraId="33C85156" w14:textId="77777777" w:rsidTr="000611A5">
        <w:tc>
          <w:tcPr>
            <w:tcW w:w="498" w:type="dxa"/>
          </w:tcPr>
          <w:p w14:paraId="0EE9B436"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13.</w:t>
            </w:r>
          </w:p>
        </w:tc>
        <w:tc>
          <w:tcPr>
            <w:tcW w:w="5167" w:type="dxa"/>
          </w:tcPr>
          <w:p w14:paraId="36B32966"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Consideration be given to the allowance of design envelope flexibility subject to periodic review as part of the planning process in instances where there are no detrimental environmental impacts.</w:t>
            </w:r>
          </w:p>
        </w:tc>
        <w:tc>
          <w:tcPr>
            <w:tcW w:w="1054" w:type="dxa"/>
          </w:tcPr>
          <w:p w14:paraId="12480739" w14:textId="77777777" w:rsidR="000611A5" w:rsidRPr="000736E6" w:rsidRDefault="000611A5" w:rsidP="00357164">
            <w:pPr>
              <w:rPr>
                <w:rFonts w:eastAsia="Times New Roman" w:cstheme="minorHAnsi"/>
                <w:highlight w:val="yellow"/>
                <w:lang w:eastAsia="en-IE"/>
              </w:rPr>
            </w:pPr>
            <w:r w:rsidRPr="00190E8F">
              <w:rPr>
                <w:rFonts w:eastAsia="Times New Roman" w:cstheme="minorHAnsi"/>
                <w:lang w:eastAsia="en-IE"/>
              </w:rPr>
              <w:t>Partially Accepted</w:t>
            </w:r>
          </w:p>
        </w:tc>
        <w:tc>
          <w:tcPr>
            <w:tcW w:w="5325" w:type="dxa"/>
          </w:tcPr>
          <w:p w14:paraId="7049CF06" w14:textId="77777777" w:rsidR="000611A5" w:rsidRDefault="000611A5" w:rsidP="00357164">
            <w:pPr>
              <w:spacing w:after="160" w:line="259" w:lineRule="auto"/>
              <w:rPr>
                <w:rFonts w:eastAsia="Times New Roman" w:cstheme="minorHAnsi"/>
                <w:shd w:val="clear" w:color="auto" w:fill="FFFFFF" w:themeFill="background1"/>
                <w:lang w:eastAsia="en-IE"/>
              </w:rPr>
            </w:pPr>
            <w:r w:rsidRPr="00190E8F">
              <w:rPr>
                <w:rFonts w:eastAsia="Times New Roman" w:cstheme="minorHAnsi"/>
                <w:shd w:val="clear" w:color="auto" w:fill="FFFFFF" w:themeFill="background1"/>
                <w:lang w:eastAsia="en-IE"/>
              </w:rPr>
              <w:t>Whilst such an approach is desirable, the practical implications on the findings of any EIA / AA carried out in respect of a proposed development need to be considered in detail.  Even perceived immaterial deviations from a granted scheme may have impacts that will need to be assessed. S146B of the Planning and Development Act already provides for this</w:t>
            </w:r>
            <w:r>
              <w:rPr>
                <w:rFonts w:eastAsia="Times New Roman" w:cstheme="minorHAnsi"/>
                <w:shd w:val="clear" w:color="auto" w:fill="FFFFFF" w:themeFill="background1"/>
                <w:lang w:eastAsia="en-IE"/>
              </w:rPr>
              <w:t xml:space="preserve"> and similar provisions have been provided for in the Bill. </w:t>
            </w:r>
          </w:p>
          <w:p w14:paraId="5A9817A8" w14:textId="77777777" w:rsidR="000611A5" w:rsidRPr="00AA6C27" w:rsidRDefault="000611A5" w:rsidP="00357164">
            <w:pPr>
              <w:spacing w:after="160" w:line="259" w:lineRule="auto"/>
              <w:rPr>
                <w:rFonts w:eastAsia="Times New Roman" w:cstheme="minorHAnsi"/>
                <w:lang w:eastAsia="en-IE"/>
              </w:rPr>
            </w:pPr>
            <w:r>
              <w:rPr>
                <w:rFonts w:eastAsia="Times New Roman" w:cstheme="minorHAnsi"/>
                <w:lang w:eastAsia="en-IE"/>
              </w:rPr>
              <w:t xml:space="preserve">Notwithstanding this, the Bill provides for the preparation of planning regulations that can set out the parameters of future planning applications and there </w:t>
            </w:r>
            <w:r>
              <w:rPr>
                <w:rFonts w:eastAsia="Times New Roman" w:cstheme="minorHAnsi"/>
                <w:lang w:eastAsia="en-IE"/>
              </w:rPr>
              <w:lastRenderedPageBreak/>
              <w:t xml:space="preserve">may be an opportunity to further review the detailed requirements for individual applications in this context, in a manner that is consistent with the land-based planning regime and that protects the interests of the wider public. </w:t>
            </w:r>
          </w:p>
        </w:tc>
        <w:tc>
          <w:tcPr>
            <w:tcW w:w="1701" w:type="dxa"/>
          </w:tcPr>
          <w:p w14:paraId="17D07940" w14:textId="77777777" w:rsidR="000611A5" w:rsidRPr="00190E8F" w:rsidRDefault="000611A5" w:rsidP="00357164">
            <w:pPr>
              <w:rPr>
                <w:rFonts w:eastAsia="Times New Roman" w:cstheme="minorHAnsi"/>
                <w:shd w:val="clear" w:color="auto" w:fill="FFFFFF" w:themeFill="background1"/>
                <w:lang w:eastAsia="en-IE"/>
              </w:rPr>
            </w:pPr>
            <w:r>
              <w:rPr>
                <w:rFonts w:eastAsia="Times New Roman" w:cstheme="minorHAnsi"/>
                <w:shd w:val="clear" w:color="auto" w:fill="FFFFFF" w:themeFill="background1"/>
                <w:lang w:eastAsia="en-IE"/>
              </w:rPr>
              <w:lastRenderedPageBreak/>
              <w:t>Part 8</w:t>
            </w:r>
          </w:p>
        </w:tc>
      </w:tr>
      <w:tr w:rsidR="000611A5" w:rsidRPr="00AA6C27" w14:paraId="736B8A97" w14:textId="77777777" w:rsidTr="000611A5">
        <w:tc>
          <w:tcPr>
            <w:tcW w:w="498" w:type="dxa"/>
          </w:tcPr>
          <w:p w14:paraId="26E515DA"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14.</w:t>
            </w:r>
          </w:p>
        </w:tc>
        <w:tc>
          <w:tcPr>
            <w:tcW w:w="5167" w:type="dxa"/>
          </w:tcPr>
          <w:p w14:paraId="3D841C38"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Consideration be given to the streamlining of the consent process to one authority in all instances, and subject to adequate public consultation procedures. In the event of the legislation providing for determinations in respect of such a process, such determinations should ensure public participation is provided for at the earliest stage not only when all options are open in accordance with the Aarhus Convention.</w:t>
            </w:r>
          </w:p>
        </w:tc>
        <w:tc>
          <w:tcPr>
            <w:tcW w:w="1054" w:type="dxa"/>
          </w:tcPr>
          <w:p w14:paraId="103B69E3" w14:textId="77777777" w:rsidR="000611A5" w:rsidRPr="000736E6" w:rsidRDefault="000611A5" w:rsidP="00357164">
            <w:pPr>
              <w:rPr>
                <w:rFonts w:eastAsia="Times New Roman" w:cstheme="minorHAnsi"/>
                <w:lang w:eastAsia="en-IE"/>
              </w:rPr>
            </w:pPr>
            <w:r>
              <w:rPr>
                <w:rFonts w:eastAsia="Times New Roman" w:cstheme="minorHAnsi"/>
                <w:lang w:eastAsia="en-IE"/>
              </w:rPr>
              <w:t>Accepted</w:t>
            </w:r>
          </w:p>
        </w:tc>
        <w:tc>
          <w:tcPr>
            <w:tcW w:w="5325" w:type="dxa"/>
          </w:tcPr>
          <w:p w14:paraId="5259DF43" w14:textId="77777777" w:rsidR="000611A5" w:rsidRDefault="000611A5" w:rsidP="00190E8F">
            <w:pPr>
              <w:spacing w:after="160" w:line="259" w:lineRule="auto"/>
              <w:rPr>
                <w:rFonts w:eastAsia="Times New Roman" w:cstheme="minorHAnsi"/>
                <w:lang w:eastAsia="en-IE"/>
              </w:rPr>
            </w:pPr>
            <w:r>
              <w:rPr>
                <w:rFonts w:eastAsia="Times New Roman" w:cstheme="minorHAnsi"/>
                <w:lang w:eastAsia="en-IE"/>
              </w:rPr>
              <w:t xml:space="preserve">MARA will undertake a number of consenting roles under the new regime, with the Relevant Minister construct and Local Authority permitting regime replaced.   </w:t>
            </w:r>
            <w:r w:rsidRPr="00AA6C27">
              <w:rPr>
                <w:rFonts w:eastAsia="Times New Roman" w:cstheme="minorHAnsi"/>
                <w:lang w:eastAsia="en-IE"/>
              </w:rPr>
              <w:t>The enhanced agency/licen</w:t>
            </w:r>
            <w:r>
              <w:rPr>
                <w:rFonts w:eastAsia="Times New Roman" w:cstheme="minorHAnsi"/>
                <w:lang w:eastAsia="en-IE"/>
              </w:rPr>
              <w:t>s</w:t>
            </w:r>
            <w:r w:rsidRPr="00AA6C27">
              <w:rPr>
                <w:rFonts w:eastAsia="Times New Roman" w:cstheme="minorHAnsi"/>
                <w:lang w:eastAsia="en-IE"/>
              </w:rPr>
              <w:t>ing model will provide for considerable streamlining. It is</w:t>
            </w:r>
            <w:r w:rsidRPr="7D4115C0">
              <w:rPr>
                <w:rFonts w:eastAsiaTheme="minorEastAsia"/>
                <w:lang w:eastAsia="en-IE"/>
              </w:rPr>
              <w:t xml:space="preserve"> appropriate for coherence, expert competencies and practicalities relating to coastal development to retain development consent consideration within the planning system by local authorities and An Bord </w:t>
            </w:r>
            <w:proofErr w:type="spellStart"/>
            <w:r w:rsidRPr="7D4115C0">
              <w:rPr>
                <w:rFonts w:eastAsiaTheme="minorEastAsia"/>
                <w:lang w:eastAsia="en-IE"/>
              </w:rPr>
              <w:t>Plean</w:t>
            </w:r>
            <w:r>
              <w:rPr>
                <w:rFonts w:eastAsia="Times New Roman" w:cstheme="minorHAnsi"/>
                <w:lang w:eastAsia="en-IE"/>
              </w:rPr>
              <w:t>ála</w:t>
            </w:r>
            <w:proofErr w:type="spellEnd"/>
            <w:r>
              <w:rPr>
                <w:rFonts w:eastAsia="Times New Roman" w:cstheme="minorHAnsi"/>
                <w:lang w:eastAsia="en-IE"/>
              </w:rPr>
              <w:t xml:space="preserve"> as appropriate.</w:t>
            </w:r>
          </w:p>
          <w:p w14:paraId="5CD6F736" w14:textId="77777777" w:rsidR="000611A5" w:rsidRPr="00AA6C27" w:rsidRDefault="000611A5" w:rsidP="00190E8F">
            <w:pPr>
              <w:spacing w:after="160" w:line="259" w:lineRule="auto"/>
              <w:rPr>
                <w:rFonts w:eastAsia="Times New Roman" w:cstheme="minorHAnsi"/>
                <w:lang w:eastAsia="en-IE"/>
              </w:rPr>
            </w:pPr>
            <w:r>
              <w:rPr>
                <w:rFonts w:eastAsia="Times New Roman" w:cstheme="minorHAnsi"/>
                <w:lang w:eastAsia="en-IE"/>
              </w:rPr>
              <w:t xml:space="preserve">Stakeholder engagement by prospective developers will begin prior to any MAC application at the conceptual stage of project design.  </w:t>
            </w:r>
          </w:p>
        </w:tc>
        <w:tc>
          <w:tcPr>
            <w:tcW w:w="1701" w:type="dxa"/>
          </w:tcPr>
          <w:p w14:paraId="3DD6C5B5" w14:textId="77777777" w:rsidR="000611A5" w:rsidRDefault="000611A5" w:rsidP="00190E8F">
            <w:pPr>
              <w:rPr>
                <w:rFonts w:eastAsia="Times New Roman" w:cstheme="minorHAnsi"/>
                <w:lang w:eastAsia="en-IE"/>
              </w:rPr>
            </w:pPr>
            <w:r>
              <w:rPr>
                <w:rFonts w:eastAsia="Times New Roman" w:cstheme="minorHAnsi"/>
                <w:lang w:eastAsia="en-IE"/>
              </w:rPr>
              <w:t>Part 3, Part 4, Part 5</w:t>
            </w:r>
          </w:p>
        </w:tc>
      </w:tr>
      <w:tr w:rsidR="000611A5" w:rsidRPr="00AA6C27" w14:paraId="1DA35162" w14:textId="77777777" w:rsidTr="000611A5">
        <w:tc>
          <w:tcPr>
            <w:tcW w:w="498" w:type="dxa"/>
          </w:tcPr>
          <w:p w14:paraId="7FB0BAE3"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15.</w:t>
            </w:r>
          </w:p>
        </w:tc>
        <w:tc>
          <w:tcPr>
            <w:tcW w:w="5167" w:type="dxa"/>
          </w:tcPr>
          <w:p w14:paraId="39FE965E" w14:textId="77777777" w:rsidR="000611A5" w:rsidRPr="00AA6C27" w:rsidRDefault="000611A5" w:rsidP="00357164">
            <w:pPr>
              <w:spacing w:after="160" w:line="259" w:lineRule="auto"/>
              <w:rPr>
                <w:rFonts w:eastAsia="Times New Roman" w:cstheme="minorHAnsi"/>
                <w:lang w:eastAsia="en-IE"/>
              </w:rPr>
            </w:pPr>
            <w:r w:rsidRPr="7D4115C0">
              <w:rPr>
                <w:rFonts w:eastAsiaTheme="minorEastAsia"/>
                <w:lang w:eastAsia="en-IE"/>
              </w:rPr>
              <w:t>The Bill be amended to provide for a requirement for developers to meet time-limited specific development milestones, these milestones to be provided for in secondary legislation, for the Maritime Area Consent and for mandatory conditions in consents requiring operations to begin within a certain period post-consent, or agreement of a binding commitment to do so, subject to the possibility of financial penalties for late completion.</w:t>
            </w:r>
          </w:p>
        </w:tc>
        <w:tc>
          <w:tcPr>
            <w:tcW w:w="1054" w:type="dxa"/>
          </w:tcPr>
          <w:p w14:paraId="76DB7062" w14:textId="77777777" w:rsidR="000611A5" w:rsidRPr="000736E6" w:rsidRDefault="000611A5" w:rsidP="00357164">
            <w:pPr>
              <w:rPr>
                <w:rFonts w:eastAsia="Times New Roman" w:cstheme="minorHAnsi"/>
                <w:lang w:eastAsia="en-IE"/>
              </w:rPr>
            </w:pPr>
            <w:r>
              <w:rPr>
                <w:rFonts w:eastAsia="Times New Roman" w:cstheme="minorHAnsi"/>
                <w:lang w:eastAsia="en-IE"/>
              </w:rPr>
              <w:t>Accepted</w:t>
            </w:r>
          </w:p>
        </w:tc>
        <w:tc>
          <w:tcPr>
            <w:tcW w:w="5325" w:type="dxa"/>
          </w:tcPr>
          <w:p w14:paraId="5B735071" w14:textId="77777777" w:rsidR="000611A5" w:rsidRDefault="000611A5" w:rsidP="00357164">
            <w:pPr>
              <w:spacing w:after="160" w:line="259" w:lineRule="auto"/>
              <w:rPr>
                <w:rFonts w:eastAsia="Times New Roman" w:cstheme="minorHAnsi"/>
                <w:lang w:eastAsia="en-IE"/>
              </w:rPr>
            </w:pPr>
            <w:r w:rsidRPr="00AA6C27">
              <w:rPr>
                <w:rFonts w:eastAsia="Times New Roman" w:cstheme="minorHAnsi"/>
                <w:lang w:eastAsia="en-IE"/>
              </w:rPr>
              <w:t>The MAC model as currently set out in the legal text provides for a schedule of conditions which may be attached to the MAC, including an adherence to a specified work programme and the setting of dates when events or obligations are to be performed by the MAC holder.</w:t>
            </w:r>
            <w:r>
              <w:rPr>
                <w:rFonts w:eastAsia="Times New Roman" w:cstheme="minorHAnsi"/>
                <w:lang w:eastAsia="en-IE"/>
              </w:rPr>
              <w:t xml:space="preserve">  This may be impacted and updated to account for planning permission conditions.</w:t>
            </w:r>
          </w:p>
          <w:p w14:paraId="71E1EE2B"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It is a general provision with project specific timefra</w:t>
            </w:r>
            <w:r>
              <w:rPr>
                <w:rFonts w:eastAsia="Times New Roman" w:cstheme="minorHAnsi"/>
                <w:lang w:eastAsia="en-IE"/>
              </w:rPr>
              <w:t xml:space="preserve">mes to be set out in conditions appropriate to the proposal.  </w:t>
            </w:r>
            <w:r>
              <w:t xml:space="preserve">Robust enforcement provisions include fines and other </w:t>
            </w:r>
            <w:r>
              <w:lastRenderedPageBreak/>
              <w:t>sanctions for breach of MAC/Planning/Licence conditions are provided for.</w:t>
            </w:r>
          </w:p>
          <w:p w14:paraId="037ACFC7" w14:textId="77777777" w:rsidR="000611A5" w:rsidRPr="00AA6C27" w:rsidRDefault="000611A5" w:rsidP="008B6AEE">
            <w:pPr>
              <w:spacing w:after="160" w:line="259" w:lineRule="auto"/>
              <w:rPr>
                <w:rFonts w:eastAsia="Times New Roman" w:cstheme="minorHAnsi"/>
                <w:lang w:eastAsia="en-IE"/>
              </w:rPr>
            </w:pPr>
            <w:r w:rsidRPr="00AA6C27">
              <w:rPr>
                <w:rFonts w:eastAsia="Times New Roman" w:cstheme="minorHAnsi"/>
                <w:lang w:eastAsia="en-IE"/>
              </w:rPr>
              <w:t xml:space="preserve">MACs </w:t>
            </w:r>
            <w:r>
              <w:rPr>
                <w:rFonts w:eastAsia="Times New Roman" w:cstheme="minorHAnsi"/>
                <w:lang w:eastAsia="en-IE"/>
              </w:rPr>
              <w:t xml:space="preserve">will have a set </w:t>
            </w:r>
            <w:r w:rsidRPr="00AA6C27">
              <w:rPr>
                <w:rFonts w:eastAsia="Times New Roman" w:cstheme="minorHAnsi"/>
                <w:lang w:eastAsia="en-IE"/>
              </w:rPr>
              <w:t>time-limit after which point if pl</w:t>
            </w:r>
            <w:r>
              <w:rPr>
                <w:rFonts w:eastAsia="Times New Roman" w:cstheme="minorHAnsi"/>
                <w:lang w:eastAsia="en-IE"/>
              </w:rPr>
              <w:t xml:space="preserve">anning has not been granted the MAC will terminate.  </w:t>
            </w:r>
          </w:p>
        </w:tc>
        <w:tc>
          <w:tcPr>
            <w:tcW w:w="1701" w:type="dxa"/>
          </w:tcPr>
          <w:p w14:paraId="1981A4FE" w14:textId="77777777" w:rsidR="000611A5" w:rsidRPr="00AA6C27" w:rsidRDefault="000611A5" w:rsidP="00357164">
            <w:pPr>
              <w:rPr>
                <w:rFonts w:eastAsia="Times New Roman" w:cstheme="minorHAnsi"/>
                <w:lang w:eastAsia="en-IE"/>
              </w:rPr>
            </w:pPr>
            <w:r>
              <w:rPr>
                <w:rFonts w:eastAsia="Times New Roman" w:cstheme="minorHAnsi"/>
                <w:lang w:eastAsia="en-IE"/>
              </w:rPr>
              <w:lastRenderedPageBreak/>
              <w:t>Part 4</w:t>
            </w:r>
          </w:p>
        </w:tc>
      </w:tr>
      <w:tr w:rsidR="000611A5" w:rsidRPr="00AA6C27" w14:paraId="00EECCDF" w14:textId="77777777" w:rsidTr="000611A5">
        <w:tc>
          <w:tcPr>
            <w:tcW w:w="498" w:type="dxa"/>
          </w:tcPr>
          <w:p w14:paraId="1D75DD6B"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16.</w:t>
            </w:r>
          </w:p>
        </w:tc>
        <w:tc>
          <w:tcPr>
            <w:tcW w:w="5167" w:type="dxa"/>
          </w:tcPr>
          <w:p w14:paraId="4DBC09EB"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Consideration be given to inserting a provision in the bill to facilitate the change of ownership of a project during the consenting process. This should include a requirement of consent to transfer such interest, and for time limited public participation on the decision to consent to the transfer, and a proviso that a change in the identity of the ultimate beneficial owner be regarded as a transfer for which consent is required, duly linked to definition of ‘person concerned’ at Head 28.</w:t>
            </w:r>
          </w:p>
        </w:tc>
        <w:tc>
          <w:tcPr>
            <w:tcW w:w="1054" w:type="dxa"/>
          </w:tcPr>
          <w:p w14:paraId="41D5511D" w14:textId="77777777" w:rsidR="000611A5" w:rsidRPr="000736E6" w:rsidRDefault="000611A5" w:rsidP="00357164">
            <w:pPr>
              <w:rPr>
                <w:rFonts w:eastAsia="Times New Roman" w:cstheme="minorHAnsi"/>
                <w:lang w:eastAsia="en-IE"/>
              </w:rPr>
            </w:pPr>
            <w:r>
              <w:rPr>
                <w:rFonts w:eastAsia="Times New Roman" w:cstheme="minorHAnsi"/>
                <w:lang w:eastAsia="en-IE"/>
              </w:rPr>
              <w:t>Accepted</w:t>
            </w:r>
          </w:p>
        </w:tc>
        <w:tc>
          <w:tcPr>
            <w:tcW w:w="5325" w:type="dxa"/>
          </w:tcPr>
          <w:p w14:paraId="2F95B016" w14:textId="77777777" w:rsidR="000611A5" w:rsidRPr="00AA6C27" w:rsidRDefault="000611A5" w:rsidP="00F771EA">
            <w:pPr>
              <w:spacing w:after="160" w:line="259" w:lineRule="auto"/>
              <w:rPr>
                <w:rFonts w:eastAsia="Times New Roman" w:cstheme="minorHAnsi"/>
                <w:lang w:eastAsia="en-IE"/>
              </w:rPr>
            </w:pPr>
            <w:r>
              <w:rPr>
                <w:rFonts w:eastAsia="Times New Roman" w:cstheme="minorHAnsi"/>
                <w:lang w:eastAsia="en-IE"/>
              </w:rPr>
              <w:t xml:space="preserve">The Bill provides for </w:t>
            </w:r>
            <w:r w:rsidRPr="00AA6C27">
              <w:rPr>
                <w:rFonts w:eastAsia="Times New Roman" w:cstheme="minorHAnsi"/>
                <w:lang w:eastAsia="en-IE"/>
              </w:rPr>
              <w:t>assignment</w:t>
            </w:r>
            <w:r>
              <w:rPr>
                <w:rFonts w:eastAsia="Times New Roman" w:cstheme="minorHAnsi"/>
                <w:lang w:eastAsia="en-IE"/>
              </w:rPr>
              <w:t>s</w:t>
            </w:r>
            <w:r w:rsidRPr="00AA6C27">
              <w:rPr>
                <w:rFonts w:eastAsia="Times New Roman" w:cstheme="minorHAnsi"/>
                <w:lang w:eastAsia="en-IE"/>
              </w:rPr>
              <w:t xml:space="preserve"> of the MAC to a new owner </w:t>
            </w:r>
            <w:r>
              <w:rPr>
                <w:rFonts w:eastAsia="Times New Roman" w:cstheme="minorHAnsi"/>
                <w:lang w:eastAsia="en-IE"/>
              </w:rPr>
              <w:t xml:space="preserve">though a joint application process.  The standard MAC </w:t>
            </w:r>
            <w:r w:rsidRPr="00AA6C27">
              <w:rPr>
                <w:rFonts w:eastAsia="Times New Roman" w:cstheme="minorHAnsi"/>
                <w:lang w:eastAsia="en-IE"/>
              </w:rPr>
              <w:t>suitability tests</w:t>
            </w:r>
            <w:r w:rsidRPr="7D4115C0">
              <w:rPr>
                <w:rFonts w:eastAsiaTheme="minorEastAsia"/>
                <w:lang w:eastAsia="en-IE"/>
              </w:rPr>
              <w:t xml:space="preserve"> (fit and proper person etc.) will apply to any new potential owner including the ability to comply with MAC conditions as granted</w:t>
            </w:r>
            <w:r w:rsidRPr="00AA6C27">
              <w:rPr>
                <w:rFonts w:eastAsia="Times New Roman" w:cstheme="minorHAnsi"/>
                <w:lang w:eastAsia="en-IE"/>
              </w:rPr>
              <w:t>.</w:t>
            </w:r>
          </w:p>
        </w:tc>
        <w:tc>
          <w:tcPr>
            <w:tcW w:w="1701" w:type="dxa"/>
          </w:tcPr>
          <w:p w14:paraId="1C90FAB6" w14:textId="77777777" w:rsidR="000611A5" w:rsidRDefault="000611A5" w:rsidP="00F771EA">
            <w:pPr>
              <w:rPr>
                <w:rFonts w:eastAsia="Times New Roman" w:cstheme="minorHAnsi"/>
                <w:lang w:eastAsia="en-IE"/>
              </w:rPr>
            </w:pPr>
            <w:r>
              <w:rPr>
                <w:rFonts w:eastAsia="Times New Roman" w:cstheme="minorHAnsi"/>
                <w:lang w:eastAsia="en-IE"/>
              </w:rPr>
              <w:t>Part 4</w:t>
            </w:r>
          </w:p>
        </w:tc>
      </w:tr>
      <w:tr w:rsidR="000611A5" w:rsidRPr="00AA6C27" w14:paraId="53851BBD" w14:textId="77777777" w:rsidTr="000611A5">
        <w:tc>
          <w:tcPr>
            <w:tcW w:w="498" w:type="dxa"/>
          </w:tcPr>
          <w:p w14:paraId="643635B1"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17.</w:t>
            </w:r>
          </w:p>
        </w:tc>
        <w:tc>
          <w:tcPr>
            <w:tcW w:w="5167" w:type="dxa"/>
          </w:tcPr>
          <w:p w14:paraId="0EB6A75D"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Consideration be given to subjecting marine environmental surveys to a streamlined process</w:t>
            </w:r>
          </w:p>
        </w:tc>
        <w:tc>
          <w:tcPr>
            <w:tcW w:w="1054" w:type="dxa"/>
          </w:tcPr>
          <w:p w14:paraId="103F547C" w14:textId="77777777" w:rsidR="000611A5" w:rsidRPr="000736E6" w:rsidRDefault="000611A5" w:rsidP="00357164">
            <w:pPr>
              <w:rPr>
                <w:rFonts w:eastAsia="Times New Roman" w:cstheme="minorHAnsi"/>
                <w:lang w:eastAsia="en-IE"/>
              </w:rPr>
            </w:pPr>
            <w:r>
              <w:rPr>
                <w:rFonts w:eastAsia="Times New Roman" w:cstheme="minorHAnsi"/>
                <w:lang w:eastAsia="en-IE"/>
              </w:rPr>
              <w:t>Accepted</w:t>
            </w:r>
          </w:p>
        </w:tc>
        <w:tc>
          <w:tcPr>
            <w:tcW w:w="5325" w:type="dxa"/>
          </w:tcPr>
          <w:p w14:paraId="6898C747" w14:textId="77777777" w:rsidR="000611A5" w:rsidRPr="00AA6C27" w:rsidRDefault="000611A5" w:rsidP="00F771EA">
            <w:pPr>
              <w:spacing w:after="160" w:line="259" w:lineRule="auto"/>
              <w:rPr>
                <w:rFonts w:eastAsia="Times New Roman" w:cstheme="minorHAnsi"/>
                <w:lang w:eastAsia="en-IE"/>
              </w:rPr>
            </w:pPr>
            <w:r>
              <w:rPr>
                <w:rFonts w:eastAsia="Times New Roman" w:cstheme="minorHAnsi"/>
                <w:lang w:eastAsia="en-IE"/>
              </w:rPr>
              <w:t xml:space="preserve">Such surveys will be considered in the new licensing regime provided for in the Bill.  The licensing procedure will be applied proportionally to the scale of the proposed activity. </w:t>
            </w:r>
            <w:r w:rsidRPr="00AA6C27">
              <w:rPr>
                <w:rFonts w:eastAsia="Times New Roman" w:cstheme="minorHAnsi"/>
                <w:lang w:eastAsia="en-IE"/>
              </w:rPr>
              <w:t xml:space="preserve">It is envisaged that certain </w:t>
            </w:r>
            <w:r>
              <w:rPr>
                <w:rFonts w:eastAsia="Times New Roman" w:cstheme="minorHAnsi"/>
                <w:lang w:eastAsia="en-IE"/>
              </w:rPr>
              <w:t xml:space="preserve">minor </w:t>
            </w:r>
            <w:r w:rsidRPr="00AA6C27">
              <w:rPr>
                <w:rFonts w:eastAsia="Times New Roman" w:cstheme="minorHAnsi"/>
                <w:lang w:eastAsia="en-IE"/>
              </w:rPr>
              <w:t>activities will</w:t>
            </w:r>
            <w:r>
              <w:rPr>
                <w:rFonts w:eastAsia="Times New Roman" w:cstheme="minorHAnsi"/>
                <w:lang w:eastAsia="en-IE"/>
              </w:rPr>
              <w:t xml:space="preserve"> only require minimal </w:t>
            </w:r>
            <w:r w:rsidRPr="00AA6C27">
              <w:rPr>
                <w:rFonts w:eastAsia="Times New Roman" w:cstheme="minorHAnsi"/>
                <w:lang w:eastAsia="en-IE"/>
              </w:rPr>
              <w:t>consideration.</w:t>
            </w:r>
            <w:r>
              <w:rPr>
                <w:rFonts w:eastAsia="Times New Roman" w:cstheme="minorHAnsi"/>
                <w:lang w:eastAsia="en-IE"/>
              </w:rPr>
              <w:t xml:space="preserve">  Activities that may impact on Natura 2000 sites will be subject to Appropriate Assessment.  Activities that require an EIA will not be licensable and subject to planning permission instead.</w:t>
            </w:r>
          </w:p>
        </w:tc>
        <w:tc>
          <w:tcPr>
            <w:tcW w:w="1701" w:type="dxa"/>
          </w:tcPr>
          <w:p w14:paraId="4821CB67" w14:textId="77777777" w:rsidR="000611A5" w:rsidRDefault="000611A5" w:rsidP="00F771EA">
            <w:pPr>
              <w:rPr>
                <w:rFonts w:eastAsia="Times New Roman" w:cstheme="minorHAnsi"/>
                <w:lang w:eastAsia="en-IE"/>
              </w:rPr>
            </w:pPr>
            <w:r>
              <w:rPr>
                <w:rFonts w:eastAsia="Times New Roman" w:cstheme="minorHAnsi"/>
                <w:lang w:eastAsia="en-IE"/>
              </w:rPr>
              <w:t>Part 5</w:t>
            </w:r>
          </w:p>
        </w:tc>
      </w:tr>
      <w:tr w:rsidR="000611A5" w:rsidRPr="00AA6C27" w14:paraId="4DE39F00" w14:textId="77777777" w:rsidTr="000611A5">
        <w:tc>
          <w:tcPr>
            <w:tcW w:w="498" w:type="dxa"/>
          </w:tcPr>
          <w:p w14:paraId="3485FC06"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18.</w:t>
            </w:r>
          </w:p>
        </w:tc>
        <w:tc>
          <w:tcPr>
            <w:tcW w:w="5167" w:type="dxa"/>
          </w:tcPr>
          <w:p w14:paraId="13224E45"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Further clarity in the bill be provided for surrounding the criteria used to distinguish between small and large marinas, and minor and major outfalls. Such criteria should reflect the characteristics and status of the receiving waters.</w:t>
            </w:r>
          </w:p>
        </w:tc>
        <w:tc>
          <w:tcPr>
            <w:tcW w:w="1054" w:type="dxa"/>
          </w:tcPr>
          <w:p w14:paraId="2621699C" w14:textId="77777777" w:rsidR="000611A5" w:rsidRPr="000736E6" w:rsidRDefault="000611A5" w:rsidP="000736E6">
            <w:pPr>
              <w:rPr>
                <w:rFonts w:eastAsia="Times New Roman" w:cstheme="minorHAnsi"/>
                <w:lang w:eastAsia="en-IE"/>
              </w:rPr>
            </w:pPr>
            <w:r>
              <w:rPr>
                <w:rFonts w:eastAsia="Times New Roman" w:cstheme="minorHAnsi"/>
                <w:lang w:eastAsia="en-IE"/>
              </w:rPr>
              <w:t>Accepted</w:t>
            </w:r>
          </w:p>
        </w:tc>
        <w:tc>
          <w:tcPr>
            <w:tcW w:w="5325" w:type="dxa"/>
          </w:tcPr>
          <w:p w14:paraId="6ADD5684" w14:textId="77777777" w:rsidR="000611A5" w:rsidRPr="00AA6C27" w:rsidRDefault="000611A5" w:rsidP="00F771EA">
            <w:pPr>
              <w:spacing w:after="160" w:line="259" w:lineRule="auto"/>
              <w:rPr>
                <w:rFonts w:eastAsia="Times New Roman" w:cstheme="minorHAnsi"/>
                <w:lang w:eastAsia="en-IE"/>
              </w:rPr>
            </w:pPr>
            <w:r w:rsidRPr="00AA6C27">
              <w:rPr>
                <w:rFonts w:eastAsia="Times New Roman" w:cstheme="minorHAnsi"/>
                <w:lang w:eastAsia="en-IE"/>
              </w:rPr>
              <w:t xml:space="preserve">Such uses </w:t>
            </w:r>
            <w:r>
              <w:rPr>
                <w:rFonts w:eastAsia="Times New Roman" w:cstheme="minorHAnsi"/>
                <w:lang w:eastAsia="en-IE"/>
              </w:rPr>
              <w:t>are</w:t>
            </w:r>
            <w:r w:rsidRPr="00AA6C27">
              <w:rPr>
                <w:rFonts w:eastAsia="Times New Roman" w:cstheme="minorHAnsi"/>
                <w:lang w:eastAsia="en-IE"/>
              </w:rPr>
              <w:t xml:space="preserve"> scheduled in the draft Bill and will broadly refl</w:t>
            </w:r>
            <w:r w:rsidRPr="7D4115C0">
              <w:rPr>
                <w:rFonts w:eastAsiaTheme="minorEastAsia"/>
                <w:lang w:eastAsia="en-IE"/>
              </w:rPr>
              <w:t xml:space="preserve">ect existing SID provisions. An Bord </w:t>
            </w:r>
            <w:proofErr w:type="spellStart"/>
            <w:r w:rsidRPr="7D4115C0">
              <w:rPr>
                <w:rFonts w:eastAsiaTheme="minorEastAsia"/>
                <w:lang w:eastAsia="en-IE"/>
              </w:rPr>
              <w:t>Pleanála</w:t>
            </w:r>
            <w:proofErr w:type="spellEnd"/>
            <w:r w:rsidRPr="00AA6C27">
              <w:rPr>
                <w:rFonts w:eastAsia="Times New Roman" w:cstheme="minorHAnsi"/>
                <w:lang w:eastAsia="en-IE"/>
              </w:rPr>
              <w:t xml:space="preserve"> will have ultimate authority when considering whether an application</w:t>
            </w:r>
            <w:r>
              <w:rPr>
                <w:rFonts w:eastAsia="Times New Roman" w:cstheme="minorHAnsi"/>
                <w:lang w:eastAsia="en-IE"/>
              </w:rPr>
              <w:t xml:space="preserve"> is to be made to it or a local authority and will be dependent upon the nature, scale, detail and </w:t>
            </w:r>
            <w:r>
              <w:rPr>
                <w:rFonts w:eastAsia="Times New Roman" w:cstheme="minorHAnsi"/>
                <w:lang w:eastAsia="en-IE"/>
              </w:rPr>
              <w:lastRenderedPageBreak/>
              <w:t>location of particular proposals.  Discharges from outfalls will continue to be regulated by the EPA and local authorities under the Waste Water Discharge Authorisation process.</w:t>
            </w:r>
          </w:p>
        </w:tc>
        <w:tc>
          <w:tcPr>
            <w:tcW w:w="1701" w:type="dxa"/>
          </w:tcPr>
          <w:p w14:paraId="484D05C8" w14:textId="77777777" w:rsidR="000611A5" w:rsidRPr="00AA6C27" w:rsidRDefault="00D779C0" w:rsidP="00F771EA">
            <w:pPr>
              <w:rPr>
                <w:rFonts w:eastAsia="Times New Roman" w:cstheme="minorHAnsi"/>
                <w:lang w:eastAsia="en-IE"/>
              </w:rPr>
            </w:pPr>
            <w:r>
              <w:rPr>
                <w:rFonts w:eastAsia="Times New Roman" w:cstheme="minorHAnsi"/>
                <w:lang w:eastAsia="en-IE"/>
              </w:rPr>
              <w:lastRenderedPageBreak/>
              <w:t>Schedule 10</w:t>
            </w:r>
          </w:p>
        </w:tc>
      </w:tr>
      <w:tr w:rsidR="000611A5" w:rsidRPr="00AA6C27" w14:paraId="08032662" w14:textId="77777777" w:rsidTr="000611A5">
        <w:tc>
          <w:tcPr>
            <w:tcW w:w="498" w:type="dxa"/>
          </w:tcPr>
          <w:p w14:paraId="30579892"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19.</w:t>
            </w:r>
          </w:p>
        </w:tc>
        <w:tc>
          <w:tcPr>
            <w:tcW w:w="5167" w:type="dxa"/>
          </w:tcPr>
          <w:p w14:paraId="2B84DD27"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Consideration of the management and regulation of hybrid connections be provided for in the proposed bill.</w:t>
            </w:r>
          </w:p>
        </w:tc>
        <w:tc>
          <w:tcPr>
            <w:tcW w:w="1054" w:type="dxa"/>
          </w:tcPr>
          <w:p w14:paraId="2324D8EB" w14:textId="77777777" w:rsidR="000611A5" w:rsidRPr="000736E6" w:rsidRDefault="000611A5" w:rsidP="000736E6">
            <w:pPr>
              <w:rPr>
                <w:rFonts w:eastAsia="Times New Roman" w:cstheme="minorHAnsi"/>
                <w:lang w:eastAsia="en-IE"/>
              </w:rPr>
            </w:pPr>
            <w:r>
              <w:rPr>
                <w:rFonts w:eastAsia="Times New Roman" w:cstheme="minorHAnsi"/>
                <w:lang w:eastAsia="en-IE"/>
              </w:rPr>
              <w:t>Accepted</w:t>
            </w:r>
          </w:p>
        </w:tc>
        <w:tc>
          <w:tcPr>
            <w:tcW w:w="5325" w:type="dxa"/>
          </w:tcPr>
          <w:p w14:paraId="57A2683E" w14:textId="77777777" w:rsidR="000611A5" w:rsidRPr="00AA6C27" w:rsidRDefault="000611A5" w:rsidP="000736E6">
            <w:pPr>
              <w:spacing w:after="160" w:line="259" w:lineRule="auto"/>
              <w:rPr>
                <w:rFonts w:eastAsia="Times New Roman" w:cstheme="minorHAnsi"/>
                <w:lang w:eastAsia="en-IE"/>
              </w:rPr>
            </w:pPr>
            <w:r>
              <w:rPr>
                <w:rFonts w:eastAsia="Times New Roman" w:cstheme="minorHAnsi"/>
                <w:lang w:eastAsia="en-IE"/>
              </w:rPr>
              <w:t xml:space="preserve">Any single project proposal will be subject to a single MAC assessment and single Planning Permission or licence as appropriate. </w:t>
            </w:r>
          </w:p>
        </w:tc>
        <w:tc>
          <w:tcPr>
            <w:tcW w:w="1701" w:type="dxa"/>
          </w:tcPr>
          <w:p w14:paraId="0C85E732" w14:textId="77777777" w:rsidR="000611A5" w:rsidRDefault="000611A5" w:rsidP="000736E6">
            <w:pPr>
              <w:rPr>
                <w:rFonts w:eastAsia="Times New Roman" w:cstheme="minorHAnsi"/>
                <w:lang w:eastAsia="en-IE"/>
              </w:rPr>
            </w:pPr>
            <w:r>
              <w:rPr>
                <w:rFonts w:eastAsia="Times New Roman" w:cstheme="minorHAnsi"/>
                <w:lang w:eastAsia="en-IE"/>
              </w:rPr>
              <w:t>Part 4</w:t>
            </w:r>
          </w:p>
        </w:tc>
      </w:tr>
      <w:tr w:rsidR="000611A5" w:rsidRPr="00AA6C27" w14:paraId="35EB1A6F" w14:textId="77777777" w:rsidTr="000611A5">
        <w:tc>
          <w:tcPr>
            <w:tcW w:w="498" w:type="dxa"/>
          </w:tcPr>
          <w:p w14:paraId="7BE4406F"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20.</w:t>
            </w:r>
          </w:p>
        </w:tc>
        <w:tc>
          <w:tcPr>
            <w:tcW w:w="5167" w:type="dxa"/>
          </w:tcPr>
          <w:p w14:paraId="7E88E36C"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The Good Practice Principles Handbook provide for an adequate, transparent and fair distribution of benefits to communities. However, given the nature and scale of development envisaged it would be appropriate to provide for wider public consultation on the matter of community dividend.</w:t>
            </w:r>
          </w:p>
        </w:tc>
        <w:tc>
          <w:tcPr>
            <w:tcW w:w="1054" w:type="dxa"/>
          </w:tcPr>
          <w:p w14:paraId="6489A53C" w14:textId="77777777" w:rsidR="000611A5" w:rsidRPr="00AA6C27" w:rsidRDefault="000611A5" w:rsidP="00357164">
            <w:pPr>
              <w:rPr>
                <w:rFonts w:eastAsia="Times New Roman" w:cstheme="minorHAnsi"/>
                <w:lang w:eastAsia="en-IE"/>
              </w:rPr>
            </w:pPr>
            <w:r>
              <w:rPr>
                <w:rFonts w:eastAsia="Times New Roman" w:cstheme="minorHAnsi"/>
                <w:lang w:eastAsia="en-IE"/>
              </w:rPr>
              <w:t>Partially Accepted</w:t>
            </w:r>
          </w:p>
        </w:tc>
        <w:tc>
          <w:tcPr>
            <w:tcW w:w="5325" w:type="dxa"/>
          </w:tcPr>
          <w:p w14:paraId="0F94EA82" w14:textId="77777777" w:rsidR="000611A5" w:rsidRDefault="000611A5" w:rsidP="000A2AD8">
            <w:pPr>
              <w:spacing w:after="160" w:line="259" w:lineRule="auto"/>
              <w:rPr>
                <w:rFonts w:eastAsia="Times New Roman" w:cstheme="minorHAnsi"/>
                <w:lang w:eastAsia="en-IE"/>
              </w:rPr>
            </w:pPr>
            <w:r>
              <w:rPr>
                <w:rFonts w:eastAsia="Times New Roman" w:cstheme="minorHAnsi"/>
                <w:lang w:eastAsia="en-IE"/>
              </w:rPr>
              <w:t>For offshore wind projects supported under the RESS, community benefit contributions will be required. In order to ensure good governance principles of transparency and fair distribution of these funds, guiding principles will be established for their disbursement, based on the terms and conditions of ORESS 1 in the first instance, due for public consultation later this month [Sept].</w:t>
            </w:r>
          </w:p>
          <w:p w14:paraId="5EF52C6E" w14:textId="77777777" w:rsidR="000611A5" w:rsidRPr="00AA6C27" w:rsidRDefault="000611A5" w:rsidP="00357164">
            <w:pPr>
              <w:spacing w:after="160" w:line="259" w:lineRule="auto"/>
              <w:rPr>
                <w:rFonts w:eastAsia="Times New Roman" w:cstheme="minorHAnsi"/>
                <w:lang w:eastAsia="en-IE"/>
              </w:rPr>
            </w:pPr>
          </w:p>
        </w:tc>
        <w:tc>
          <w:tcPr>
            <w:tcW w:w="1701" w:type="dxa"/>
          </w:tcPr>
          <w:p w14:paraId="7EB6626E" w14:textId="77777777" w:rsidR="000611A5" w:rsidRDefault="00586DDC" w:rsidP="000A2AD8">
            <w:pPr>
              <w:rPr>
                <w:rFonts w:eastAsia="Times New Roman" w:cstheme="minorHAnsi"/>
                <w:lang w:eastAsia="en-IE"/>
              </w:rPr>
            </w:pPr>
            <w:r>
              <w:rPr>
                <w:rFonts w:eastAsia="Times New Roman" w:cstheme="minorHAnsi"/>
                <w:lang w:eastAsia="en-IE"/>
              </w:rPr>
              <w:t>N/A</w:t>
            </w:r>
          </w:p>
        </w:tc>
      </w:tr>
      <w:tr w:rsidR="000611A5" w:rsidRPr="00AA6C27" w14:paraId="57905556" w14:textId="77777777" w:rsidTr="000611A5">
        <w:tc>
          <w:tcPr>
            <w:tcW w:w="498" w:type="dxa"/>
          </w:tcPr>
          <w:p w14:paraId="1761F390"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21.</w:t>
            </w:r>
          </w:p>
        </w:tc>
        <w:tc>
          <w:tcPr>
            <w:tcW w:w="5167" w:type="dxa"/>
          </w:tcPr>
          <w:p w14:paraId="23C9899F"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Future iterations of the Renewable Electric Support Scheme provide for community benefits stemming from offshore wind projects.</w:t>
            </w:r>
          </w:p>
        </w:tc>
        <w:tc>
          <w:tcPr>
            <w:tcW w:w="1054" w:type="dxa"/>
          </w:tcPr>
          <w:p w14:paraId="05B155FB" w14:textId="77777777" w:rsidR="000611A5" w:rsidRPr="000736E6" w:rsidRDefault="000611A5" w:rsidP="00357164">
            <w:pPr>
              <w:rPr>
                <w:rFonts w:eastAsia="Times New Roman" w:cstheme="minorHAnsi"/>
                <w:lang w:eastAsia="en-IE"/>
              </w:rPr>
            </w:pPr>
            <w:r>
              <w:rPr>
                <w:rFonts w:eastAsia="Times New Roman" w:cstheme="minorHAnsi"/>
                <w:lang w:eastAsia="en-IE"/>
              </w:rPr>
              <w:t>Partially Accepted</w:t>
            </w:r>
          </w:p>
        </w:tc>
        <w:tc>
          <w:tcPr>
            <w:tcW w:w="5325" w:type="dxa"/>
          </w:tcPr>
          <w:p w14:paraId="7F3C4104" w14:textId="77777777" w:rsidR="000611A5" w:rsidRDefault="000611A5" w:rsidP="00357164">
            <w:pPr>
              <w:spacing w:after="160" w:line="259" w:lineRule="auto"/>
              <w:rPr>
                <w:rFonts w:eastAsia="Times New Roman" w:cstheme="minorHAnsi"/>
                <w:lang w:eastAsia="en-IE"/>
              </w:rPr>
            </w:pPr>
            <w:r>
              <w:rPr>
                <w:rFonts w:eastAsia="Times New Roman" w:cstheme="minorHAnsi"/>
                <w:lang w:eastAsia="en-IE"/>
              </w:rPr>
              <w:t>RESS is beyond the scope of the MAP Bill.</w:t>
            </w:r>
          </w:p>
          <w:p w14:paraId="4597378E" w14:textId="77777777" w:rsidR="000611A5" w:rsidRPr="00AA6C27" w:rsidRDefault="000611A5" w:rsidP="00357164">
            <w:pPr>
              <w:spacing w:after="160" w:line="259" w:lineRule="auto"/>
              <w:rPr>
                <w:rFonts w:eastAsia="Times New Roman" w:cstheme="minorHAnsi"/>
                <w:lang w:eastAsia="en-IE"/>
              </w:rPr>
            </w:pPr>
            <w:r>
              <w:rPr>
                <w:rFonts w:eastAsia="Times New Roman" w:cstheme="minorHAnsi"/>
                <w:lang w:eastAsia="en-IE"/>
              </w:rPr>
              <w:t>Community Benefit Funds and the contribution level of €2/MWh are established in the design of all RESS auctions, onshore and offshore. This design feature is included in the State Aid notification for RESS and is not expected to change.</w:t>
            </w:r>
          </w:p>
        </w:tc>
        <w:tc>
          <w:tcPr>
            <w:tcW w:w="1701" w:type="dxa"/>
          </w:tcPr>
          <w:p w14:paraId="553B1B3A" w14:textId="77777777" w:rsidR="000611A5" w:rsidRDefault="00586DDC" w:rsidP="00357164">
            <w:pPr>
              <w:rPr>
                <w:rFonts w:eastAsia="Times New Roman" w:cstheme="minorHAnsi"/>
                <w:lang w:eastAsia="en-IE"/>
              </w:rPr>
            </w:pPr>
            <w:r>
              <w:rPr>
                <w:rFonts w:eastAsia="Times New Roman" w:cstheme="minorHAnsi"/>
                <w:lang w:eastAsia="en-IE"/>
              </w:rPr>
              <w:t>N/A</w:t>
            </w:r>
          </w:p>
        </w:tc>
      </w:tr>
      <w:tr w:rsidR="000611A5" w:rsidRPr="00AA6C27" w14:paraId="10145695" w14:textId="77777777" w:rsidTr="000611A5">
        <w:tc>
          <w:tcPr>
            <w:tcW w:w="498" w:type="dxa"/>
          </w:tcPr>
          <w:p w14:paraId="5726B934"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22.</w:t>
            </w:r>
          </w:p>
        </w:tc>
        <w:tc>
          <w:tcPr>
            <w:tcW w:w="5167" w:type="dxa"/>
          </w:tcPr>
          <w:p w14:paraId="039BEE7D"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Consideration be given to the potential for wider dividends to be provided in respect of protecting and preserving biodiversity.</w:t>
            </w:r>
          </w:p>
        </w:tc>
        <w:tc>
          <w:tcPr>
            <w:tcW w:w="1054" w:type="dxa"/>
          </w:tcPr>
          <w:p w14:paraId="1018E8C9" w14:textId="77777777" w:rsidR="000611A5" w:rsidRPr="000736E6" w:rsidRDefault="000611A5" w:rsidP="00357164">
            <w:pPr>
              <w:rPr>
                <w:rFonts w:eastAsia="Times New Roman" w:cstheme="minorHAnsi"/>
                <w:lang w:eastAsia="en-IE"/>
              </w:rPr>
            </w:pPr>
            <w:r>
              <w:rPr>
                <w:rFonts w:eastAsia="Times New Roman" w:cstheme="minorHAnsi"/>
                <w:lang w:eastAsia="en-IE"/>
              </w:rPr>
              <w:t>Not Accepted</w:t>
            </w:r>
          </w:p>
        </w:tc>
        <w:tc>
          <w:tcPr>
            <w:tcW w:w="5325" w:type="dxa"/>
          </w:tcPr>
          <w:p w14:paraId="26A7236A" w14:textId="77777777" w:rsidR="000611A5" w:rsidRPr="00AA6C27" w:rsidRDefault="000611A5" w:rsidP="00357164">
            <w:pPr>
              <w:spacing w:after="160" w:line="259" w:lineRule="auto"/>
              <w:rPr>
                <w:rFonts w:eastAsia="Times New Roman" w:cstheme="minorHAnsi"/>
                <w:lang w:eastAsia="en-IE"/>
              </w:rPr>
            </w:pPr>
            <w:r>
              <w:rPr>
                <w:rFonts w:eastAsia="Times New Roman" w:cstheme="minorHAnsi"/>
                <w:lang w:eastAsia="en-IE"/>
              </w:rPr>
              <w:t xml:space="preserve">This is beyond the scope of primary legislation.  </w:t>
            </w:r>
            <w:r>
              <w:t xml:space="preserve">While MARA (and MECC in the interim) has the power to establish a levy framework for MACs appropriate to proposals it is ultimately a matter for DPER to determine the appropriate disbursement of funds.  </w:t>
            </w:r>
          </w:p>
        </w:tc>
        <w:tc>
          <w:tcPr>
            <w:tcW w:w="1701" w:type="dxa"/>
          </w:tcPr>
          <w:p w14:paraId="75065C6A" w14:textId="77777777" w:rsidR="000611A5" w:rsidRDefault="00586DDC" w:rsidP="00357164">
            <w:pPr>
              <w:rPr>
                <w:rFonts w:eastAsia="Times New Roman" w:cstheme="minorHAnsi"/>
                <w:lang w:eastAsia="en-IE"/>
              </w:rPr>
            </w:pPr>
            <w:r>
              <w:rPr>
                <w:rFonts w:eastAsia="Times New Roman" w:cstheme="minorHAnsi"/>
                <w:lang w:eastAsia="en-IE"/>
              </w:rPr>
              <w:t>N/A</w:t>
            </w:r>
          </w:p>
        </w:tc>
      </w:tr>
      <w:tr w:rsidR="000611A5" w:rsidRPr="00AA6C27" w14:paraId="1AB27289" w14:textId="77777777" w:rsidTr="000611A5">
        <w:tc>
          <w:tcPr>
            <w:tcW w:w="498" w:type="dxa"/>
          </w:tcPr>
          <w:p w14:paraId="774A4035"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lastRenderedPageBreak/>
              <w:t>23.</w:t>
            </w:r>
          </w:p>
        </w:tc>
        <w:tc>
          <w:tcPr>
            <w:tcW w:w="5167" w:type="dxa"/>
          </w:tcPr>
          <w:p w14:paraId="768E264A"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Consideration be given to the potential for wider dividends to be provided in respect of grants and scholarships to promote academic excellence in marine biodiversity and also for the support and development of truly independent studies and assessments associated with marine biodiversity.</w:t>
            </w:r>
          </w:p>
        </w:tc>
        <w:tc>
          <w:tcPr>
            <w:tcW w:w="1054" w:type="dxa"/>
          </w:tcPr>
          <w:p w14:paraId="465FDA98" w14:textId="77777777" w:rsidR="000611A5" w:rsidRPr="000736E6" w:rsidRDefault="000611A5" w:rsidP="00357164">
            <w:pPr>
              <w:rPr>
                <w:rFonts w:eastAsia="Times New Roman" w:cstheme="minorHAnsi"/>
                <w:lang w:eastAsia="en-IE"/>
              </w:rPr>
            </w:pPr>
            <w:r>
              <w:rPr>
                <w:rFonts w:eastAsia="Times New Roman" w:cstheme="minorHAnsi"/>
                <w:lang w:eastAsia="en-IE"/>
              </w:rPr>
              <w:t>Not Accepted</w:t>
            </w:r>
          </w:p>
        </w:tc>
        <w:tc>
          <w:tcPr>
            <w:tcW w:w="5325" w:type="dxa"/>
          </w:tcPr>
          <w:p w14:paraId="6651E0D8" w14:textId="77777777" w:rsidR="000611A5" w:rsidRPr="00AA6C27" w:rsidRDefault="000611A5" w:rsidP="00357164">
            <w:pPr>
              <w:spacing w:after="160" w:line="259" w:lineRule="auto"/>
              <w:rPr>
                <w:rFonts w:eastAsia="Times New Roman" w:cstheme="minorHAnsi"/>
                <w:lang w:eastAsia="en-IE"/>
              </w:rPr>
            </w:pPr>
            <w:r>
              <w:rPr>
                <w:rFonts w:eastAsia="Times New Roman" w:cstheme="minorHAnsi"/>
                <w:lang w:eastAsia="en-IE"/>
              </w:rPr>
              <w:t>As above.</w:t>
            </w:r>
          </w:p>
        </w:tc>
        <w:tc>
          <w:tcPr>
            <w:tcW w:w="1701" w:type="dxa"/>
          </w:tcPr>
          <w:p w14:paraId="6E2BA053" w14:textId="77777777" w:rsidR="000611A5" w:rsidRDefault="00586DDC" w:rsidP="00357164">
            <w:pPr>
              <w:rPr>
                <w:rFonts w:eastAsia="Times New Roman" w:cstheme="minorHAnsi"/>
                <w:lang w:eastAsia="en-IE"/>
              </w:rPr>
            </w:pPr>
            <w:r>
              <w:rPr>
                <w:rFonts w:eastAsia="Times New Roman" w:cstheme="minorHAnsi"/>
                <w:lang w:eastAsia="en-IE"/>
              </w:rPr>
              <w:t>N/A</w:t>
            </w:r>
          </w:p>
        </w:tc>
      </w:tr>
      <w:tr w:rsidR="000611A5" w:rsidRPr="00AA6C27" w14:paraId="4DF79690" w14:textId="77777777" w:rsidTr="000611A5">
        <w:tc>
          <w:tcPr>
            <w:tcW w:w="498" w:type="dxa"/>
          </w:tcPr>
          <w:p w14:paraId="4AE0B847"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24.</w:t>
            </w:r>
          </w:p>
        </w:tc>
        <w:tc>
          <w:tcPr>
            <w:tcW w:w="5167" w:type="dxa"/>
          </w:tcPr>
          <w:p w14:paraId="2A0A52B6"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All Government departments and bodies be adequately resourced to effectively and efficiently carry out the functions stemming from the introduction of the new marine planning system, both in terms of facilitating efficient development and effective marine environmental protection. Consent application fees should be calculated to contribute to the costs of such resourcing.</w:t>
            </w:r>
          </w:p>
        </w:tc>
        <w:tc>
          <w:tcPr>
            <w:tcW w:w="1054" w:type="dxa"/>
          </w:tcPr>
          <w:p w14:paraId="6913DE91" w14:textId="77777777" w:rsidR="000611A5" w:rsidRPr="000736E6" w:rsidRDefault="000611A5" w:rsidP="00357164">
            <w:pPr>
              <w:rPr>
                <w:rFonts w:eastAsia="Times New Roman" w:cstheme="minorHAnsi"/>
                <w:lang w:eastAsia="en-IE"/>
              </w:rPr>
            </w:pPr>
            <w:r>
              <w:rPr>
                <w:rFonts w:eastAsia="Times New Roman" w:cstheme="minorHAnsi"/>
                <w:lang w:eastAsia="en-IE"/>
              </w:rPr>
              <w:t>Partially Accepted</w:t>
            </w:r>
          </w:p>
        </w:tc>
        <w:tc>
          <w:tcPr>
            <w:tcW w:w="5325" w:type="dxa"/>
          </w:tcPr>
          <w:p w14:paraId="3A4E4155" w14:textId="77777777" w:rsidR="000611A5" w:rsidRPr="00AA6C27" w:rsidRDefault="000611A5" w:rsidP="00357164">
            <w:pPr>
              <w:spacing w:after="160" w:line="259" w:lineRule="auto"/>
              <w:rPr>
                <w:rFonts w:eastAsia="Times New Roman" w:cstheme="minorHAnsi"/>
                <w:lang w:eastAsia="en-IE"/>
              </w:rPr>
            </w:pPr>
            <w:r>
              <w:rPr>
                <w:rFonts w:eastAsia="Times New Roman" w:cstheme="minorHAnsi"/>
                <w:lang w:eastAsia="en-IE"/>
              </w:rPr>
              <w:t xml:space="preserve">Departmental Staff will continue to lead the further development of the NMPF and constituent elements.  Continued cross-departmental collaboration and multi-agency working groups both spread the staff resource impacts and increase the breadth of marine competencies across the system. </w:t>
            </w:r>
          </w:p>
        </w:tc>
        <w:tc>
          <w:tcPr>
            <w:tcW w:w="1701" w:type="dxa"/>
          </w:tcPr>
          <w:p w14:paraId="672D3FDB" w14:textId="77777777" w:rsidR="000611A5" w:rsidRDefault="00586DDC" w:rsidP="00357164">
            <w:pPr>
              <w:rPr>
                <w:rFonts w:eastAsia="Times New Roman" w:cstheme="minorHAnsi"/>
                <w:lang w:eastAsia="en-IE"/>
              </w:rPr>
            </w:pPr>
            <w:r>
              <w:rPr>
                <w:rFonts w:eastAsia="Times New Roman" w:cstheme="minorHAnsi"/>
                <w:lang w:eastAsia="en-IE"/>
              </w:rPr>
              <w:t>N/A</w:t>
            </w:r>
          </w:p>
        </w:tc>
      </w:tr>
      <w:tr w:rsidR="000611A5" w:rsidRPr="00AA6C27" w14:paraId="0AF23FAB" w14:textId="77777777" w:rsidTr="000611A5">
        <w:tc>
          <w:tcPr>
            <w:tcW w:w="498" w:type="dxa"/>
          </w:tcPr>
          <w:p w14:paraId="2E5802A2"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25.</w:t>
            </w:r>
          </w:p>
        </w:tc>
        <w:tc>
          <w:tcPr>
            <w:tcW w:w="5167" w:type="dxa"/>
          </w:tcPr>
          <w:p w14:paraId="0169BF0C"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 xml:space="preserve">Consideration be given to the expertise and benefit provided by </w:t>
            </w:r>
            <w:proofErr w:type="spellStart"/>
            <w:r w:rsidRPr="00AA6C27">
              <w:rPr>
                <w:rFonts w:eastAsia="Times New Roman" w:cstheme="minorHAnsi"/>
                <w:lang w:eastAsia="en-IE"/>
              </w:rPr>
              <w:t>eNGOs</w:t>
            </w:r>
            <w:proofErr w:type="spellEnd"/>
            <w:r w:rsidRPr="00AA6C27">
              <w:rPr>
                <w:rFonts w:eastAsia="Times New Roman" w:cstheme="minorHAnsi"/>
                <w:lang w:eastAsia="en-IE"/>
              </w:rPr>
              <w:t xml:space="preserve"> to the decision-making under this legislation and the additional burden and volume of consultation which is likely to arise, and the need to provide for additional supports to enable them participate effectively in the environmental decision-making under the legislation</w:t>
            </w:r>
          </w:p>
        </w:tc>
        <w:tc>
          <w:tcPr>
            <w:tcW w:w="1054" w:type="dxa"/>
          </w:tcPr>
          <w:p w14:paraId="50D2D9B1" w14:textId="77777777" w:rsidR="000611A5" w:rsidRPr="000736E6" w:rsidRDefault="000611A5" w:rsidP="00357164">
            <w:pPr>
              <w:rPr>
                <w:rFonts w:eastAsia="Times New Roman" w:cstheme="minorHAnsi"/>
                <w:lang w:eastAsia="en-IE"/>
              </w:rPr>
            </w:pPr>
            <w:r>
              <w:rPr>
                <w:rFonts w:eastAsia="Times New Roman" w:cstheme="minorHAnsi"/>
                <w:lang w:eastAsia="en-IE"/>
              </w:rPr>
              <w:t>Partially Accepted</w:t>
            </w:r>
          </w:p>
        </w:tc>
        <w:tc>
          <w:tcPr>
            <w:tcW w:w="5325" w:type="dxa"/>
          </w:tcPr>
          <w:p w14:paraId="43F64D31" w14:textId="77777777" w:rsidR="000611A5" w:rsidRDefault="000611A5" w:rsidP="00357164">
            <w:pPr>
              <w:spacing w:after="160" w:line="259" w:lineRule="auto"/>
              <w:rPr>
                <w:rFonts w:eastAsia="Times New Roman" w:cstheme="minorHAnsi"/>
                <w:lang w:eastAsia="en-IE"/>
              </w:rPr>
            </w:pPr>
            <w:r>
              <w:rPr>
                <w:rFonts w:eastAsia="Times New Roman" w:cstheme="minorHAnsi"/>
                <w:lang w:eastAsia="en-IE"/>
              </w:rPr>
              <w:t xml:space="preserve">The Bill provides scope to a prescribe range of bodies for the purposes of planning permission decision making.  The MAP Bill provides for a single environmental assessment of proposal.  This elimination of the existing duplicative assessment regime will remove a significant burden from the </w:t>
            </w:r>
            <w:proofErr w:type="spellStart"/>
            <w:r>
              <w:rPr>
                <w:rFonts w:eastAsia="Times New Roman" w:cstheme="minorHAnsi"/>
                <w:lang w:eastAsia="en-IE"/>
              </w:rPr>
              <w:t>eNGOs</w:t>
            </w:r>
            <w:proofErr w:type="spellEnd"/>
            <w:r>
              <w:rPr>
                <w:rFonts w:eastAsia="Times New Roman" w:cstheme="minorHAnsi"/>
                <w:lang w:eastAsia="en-IE"/>
              </w:rPr>
              <w:t xml:space="preserve"> in relation to specific projects.  </w:t>
            </w:r>
          </w:p>
          <w:p w14:paraId="5AFC39B3" w14:textId="77777777" w:rsidR="000611A5" w:rsidRPr="00AA6C27" w:rsidRDefault="000611A5" w:rsidP="00FE6F8E">
            <w:pPr>
              <w:spacing w:after="160" w:line="259" w:lineRule="auto"/>
              <w:rPr>
                <w:rFonts w:eastAsia="Times New Roman" w:cstheme="minorHAnsi"/>
                <w:lang w:eastAsia="en-IE"/>
              </w:rPr>
            </w:pPr>
            <w:r>
              <w:rPr>
                <w:rFonts w:eastAsia="Times New Roman" w:cstheme="minorHAnsi"/>
                <w:lang w:eastAsia="en-IE"/>
              </w:rPr>
              <w:t xml:space="preserve">The issue of additional supports is not marine specific and beyond the scope of the legislation. </w:t>
            </w:r>
          </w:p>
        </w:tc>
        <w:tc>
          <w:tcPr>
            <w:tcW w:w="1701" w:type="dxa"/>
          </w:tcPr>
          <w:p w14:paraId="193E6D42" w14:textId="77777777" w:rsidR="000611A5" w:rsidRDefault="000611A5" w:rsidP="00357164">
            <w:pPr>
              <w:rPr>
                <w:rFonts w:eastAsia="Times New Roman" w:cstheme="minorHAnsi"/>
                <w:lang w:eastAsia="en-IE"/>
              </w:rPr>
            </w:pPr>
            <w:r>
              <w:rPr>
                <w:rFonts w:eastAsia="Times New Roman" w:cstheme="minorHAnsi"/>
                <w:lang w:eastAsia="en-IE"/>
              </w:rPr>
              <w:t>Part 8</w:t>
            </w:r>
          </w:p>
        </w:tc>
      </w:tr>
      <w:tr w:rsidR="000611A5" w:rsidRPr="00AA6C27" w14:paraId="3A906301" w14:textId="77777777" w:rsidTr="000611A5">
        <w:tc>
          <w:tcPr>
            <w:tcW w:w="498" w:type="dxa"/>
          </w:tcPr>
          <w:p w14:paraId="0A812990"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26.</w:t>
            </w:r>
          </w:p>
        </w:tc>
        <w:tc>
          <w:tcPr>
            <w:tcW w:w="5167" w:type="dxa"/>
          </w:tcPr>
          <w:p w14:paraId="182433C2"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Further clarity surrounding the enforcement regime be provided for in the bill, particularly in relation to the enforcement of environmental provisions contained in the both the current bill and existing environmental legislation.</w:t>
            </w:r>
          </w:p>
        </w:tc>
        <w:tc>
          <w:tcPr>
            <w:tcW w:w="1054" w:type="dxa"/>
          </w:tcPr>
          <w:p w14:paraId="3FE26707" w14:textId="77777777" w:rsidR="000611A5" w:rsidRPr="000736E6" w:rsidRDefault="000611A5" w:rsidP="000736E6">
            <w:pPr>
              <w:rPr>
                <w:rFonts w:eastAsia="Times New Roman" w:cstheme="minorHAnsi"/>
                <w:lang w:eastAsia="en-IE"/>
              </w:rPr>
            </w:pPr>
            <w:r>
              <w:rPr>
                <w:rFonts w:eastAsia="Times New Roman" w:cstheme="minorHAnsi"/>
                <w:lang w:eastAsia="en-IE"/>
              </w:rPr>
              <w:t>Accepted</w:t>
            </w:r>
          </w:p>
        </w:tc>
        <w:tc>
          <w:tcPr>
            <w:tcW w:w="5325" w:type="dxa"/>
          </w:tcPr>
          <w:p w14:paraId="6B97514E" w14:textId="77777777" w:rsidR="000611A5" w:rsidRPr="00AA6C27" w:rsidRDefault="000611A5" w:rsidP="000736E6">
            <w:pPr>
              <w:spacing w:after="160" w:line="259" w:lineRule="auto"/>
              <w:rPr>
                <w:rFonts w:eastAsia="Times New Roman" w:cstheme="minorHAnsi"/>
                <w:lang w:eastAsia="en-IE"/>
              </w:rPr>
            </w:pPr>
            <w:r>
              <w:rPr>
                <w:rFonts w:eastAsia="Times New Roman" w:cstheme="minorHAnsi"/>
                <w:lang w:eastAsia="en-IE"/>
              </w:rPr>
              <w:t>The modalities and responsibilities of enforcement are clearly laid out in the legal text.  MARA will be responsible for enforcement of MACs licences and offshore planning permissions.  Local Authorities will continue to be responsible for enforcement of coastal development extended into the new nearshore area.</w:t>
            </w:r>
            <w:r w:rsidRPr="00AA6C27">
              <w:rPr>
                <w:rFonts w:eastAsia="Times New Roman" w:cstheme="minorHAnsi"/>
                <w:lang w:eastAsia="en-IE"/>
              </w:rPr>
              <w:t xml:space="preserve">  </w:t>
            </w:r>
          </w:p>
        </w:tc>
        <w:tc>
          <w:tcPr>
            <w:tcW w:w="1701" w:type="dxa"/>
          </w:tcPr>
          <w:p w14:paraId="27170E68" w14:textId="77777777" w:rsidR="000611A5" w:rsidRDefault="00AC1606" w:rsidP="000736E6">
            <w:pPr>
              <w:rPr>
                <w:rFonts w:eastAsia="Times New Roman" w:cstheme="minorHAnsi"/>
                <w:lang w:eastAsia="en-IE"/>
              </w:rPr>
            </w:pPr>
            <w:r>
              <w:rPr>
                <w:rFonts w:eastAsia="Times New Roman" w:cstheme="minorHAnsi"/>
                <w:lang w:eastAsia="en-IE"/>
              </w:rPr>
              <w:t>Part 6</w:t>
            </w:r>
          </w:p>
        </w:tc>
      </w:tr>
      <w:tr w:rsidR="000611A5" w:rsidRPr="00AA6C27" w14:paraId="714D3ED2" w14:textId="77777777" w:rsidTr="000611A5">
        <w:tc>
          <w:tcPr>
            <w:tcW w:w="498" w:type="dxa"/>
          </w:tcPr>
          <w:p w14:paraId="5032F22E"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lastRenderedPageBreak/>
              <w:t>27.</w:t>
            </w:r>
          </w:p>
        </w:tc>
        <w:tc>
          <w:tcPr>
            <w:tcW w:w="5167" w:type="dxa"/>
          </w:tcPr>
          <w:p w14:paraId="4D81C03A"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The enforcement body provided for in the bill be adequately resourced to enable it to effectively administer its obligations under the bill and related legislation. The enforcement body be subject to a requirement to ensure prompt, effective and dissuasive enforcement in order to comply with requirements of EU Directives, and subject to supervision by an external supervisor to guard against regulatory capture. The enforcement body be required to provide publicly available detailed quarterly reports on their activities.</w:t>
            </w:r>
          </w:p>
        </w:tc>
        <w:tc>
          <w:tcPr>
            <w:tcW w:w="1054" w:type="dxa"/>
          </w:tcPr>
          <w:p w14:paraId="05B85208" w14:textId="77777777" w:rsidR="000611A5" w:rsidRPr="00AA6C27" w:rsidRDefault="000611A5" w:rsidP="00357164">
            <w:pPr>
              <w:rPr>
                <w:rFonts w:eastAsia="Times New Roman" w:cstheme="minorHAnsi"/>
                <w:lang w:eastAsia="en-IE"/>
              </w:rPr>
            </w:pPr>
            <w:r>
              <w:rPr>
                <w:rFonts w:eastAsia="Times New Roman" w:cstheme="minorHAnsi"/>
                <w:lang w:eastAsia="en-IE"/>
              </w:rPr>
              <w:t xml:space="preserve">Accepted </w:t>
            </w:r>
          </w:p>
        </w:tc>
        <w:tc>
          <w:tcPr>
            <w:tcW w:w="5325" w:type="dxa"/>
          </w:tcPr>
          <w:p w14:paraId="0B2FB209" w14:textId="77777777" w:rsidR="000611A5" w:rsidRDefault="00AC1606" w:rsidP="00C46147">
            <w:pPr>
              <w:spacing w:after="160" w:line="259" w:lineRule="auto"/>
              <w:rPr>
                <w:rFonts w:eastAsia="Times New Roman" w:cstheme="minorHAnsi"/>
                <w:lang w:eastAsia="en-IE"/>
              </w:rPr>
            </w:pPr>
            <w:r>
              <w:rPr>
                <w:rFonts w:eastAsia="Times New Roman" w:cstheme="minorHAnsi"/>
                <w:lang w:eastAsia="en-IE"/>
              </w:rPr>
              <w:t>MARA will be a well-</w:t>
            </w:r>
            <w:r w:rsidR="000611A5">
              <w:rPr>
                <w:rFonts w:eastAsia="Times New Roman" w:cstheme="minorHAnsi"/>
                <w:lang w:eastAsia="en-IE"/>
              </w:rPr>
              <w:t xml:space="preserve">resourced independent agency carrying out certain consenting functions.  Work is ongoing to determine appropriate structures, staffing levels and skills requirements for MARA to undertaken the functions set out in the Bill.  </w:t>
            </w:r>
          </w:p>
          <w:p w14:paraId="3FCDAE6E" w14:textId="77777777" w:rsidR="000611A5" w:rsidRDefault="000611A5" w:rsidP="00C46147">
            <w:pPr>
              <w:spacing w:after="160" w:line="259" w:lineRule="auto"/>
              <w:rPr>
                <w:rFonts w:eastAsia="Times New Roman" w:cstheme="minorHAnsi"/>
                <w:lang w:eastAsia="en-IE"/>
              </w:rPr>
            </w:pPr>
            <w:r>
              <w:rPr>
                <w:rFonts w:eastAsia="Times New Roman" w:cstheme="minorHAnsi"/>
                <w:lang w:eastAsia="en-IE"/>
              </w:rPr>
              <w:t xml:space="preserve">MARA will have robust investigation and enforcement powers and a specified statutory function to </w:t>
            </w:r>
            <w:r w:rsidR="00AC1606">
              <w:rPr>
                <w:rFonts w:eastAsia="Times New Roman" w:cstheme="minorHAnsi"/>
                <w:lang w:eastAsia="en-IE"/>
              </w:rPr>
              <w:t xml:space="preserve">promote and monitor compliance </w:t>
            </w:r>
            <w:r>
              <w:rPr>
                <w:rFonts w:eastAsia="Times New Roman" w:cstheme="minorHAnsi"/>
                <w:lang w:eastAsia="en-IE"/>
              </w:rPr>
              <w:t xml:space="preserve">relating to its functions under the Bill.  MARA will report on its enforcement activities in its annual report to be laid before the houses of the Oireachtas.  It is intended that MARA will perform its functions in an open and transparent manner with the modalities of notifications to be detailed during its establishment process. </w:t>
            </w:r>
          </w:p>
          <w:p w14:paraId="50A97D6A" w14:textId="77777777" w:rsidR="000611A5" w:rsidRPr="00AA6C27" w:rsidRDefault="000611A5" w:rsidP="00357164">
            <w:pPr>
              <w:spacing w:after="160" w:line="259" w:lineRule="auto"/>
              <w:rPr>
                <w:rFonts w:eastAsia="Times New Roman" w:cstheme="minorHAnsi"/>
                <w:lang w:eastAsia="en-IE"/>
              </w:rPr>
            </w:pPr>
          </w:p>
        </w:tc>
        <w:tc>
          <w:tcPr>
            <w:tcW w:w="1701" w:type="dxa"/>
          </w:tcPr>
          <w:p w14:paraId="113D21FA" w14:textId="77777777" w:rsidR="000611A5" w:rsidRDefault="00AC1606" w:rsidP="00C46147">
            <w:pPr>
              <w:rPr>
                <w:rFonts w:eastAsia="Times New Roman" w:cstheme="minorHAnsi"/>
                <w:lang w:eastAsia="en-IE"/>
              </w:rPr>
            </w:pPr>
            <w:r>
              <w:rPr>
                <w:rFonts w:eastAsia="Times New Roman" w:cstheme="minorHAnsi"/>
                <w:lang w:eastAsia="en-IE"/>
              </w:rPr>
              <w:t>Part 3, Part 6</w:t>
            </w:r>
          </w:p>
        </w:tc>
      </w:tr>
      <w:tr w:rsidR="000611A5" w:rsidRPr="00AA6C27" w14:paraId="579EF47E" w14:textId="77777777" w:rsidTr="000611A5">
        <w:tc>
          <w:tcPr>
            <w:tcW w:w="498" w:type="dxa"/>
          </w:tcPr>
          <w:p w14:paraId="3B6FF7AC"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28.</w:t>
            </w:r>
          </w:p>
        </w:tc>
        <w:tc>
          <w:tcPr>
            <w:tcW w:w="5167" w:type="dxa"/>
          </w:tcPr>
          <w:p w14:paraId="517D6537"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Consideration be given to transferring the responsibility for foreshore licensing to the proposed independent enforcement body.</w:t>
            </w:r>
          </w:p>
        </w:tc>
        <w:tc>
          <w:tcPr>
            <w:tcW w:w="1054" w:type="dxa"/>
          </w:tcPr>
          <w:p w14:paraId="52A0BFC1" w14:textId="77777777" w:rsidR="000611A5" w:rsidRPr="00AA6C27" w:rsidRDefault="000611A5" w:rsidP="00357164">
            <w:pPr>
              <w:rPr>
                <w:rFonts w:eastAsia="Times New Roman" w:cstheme="minorHAnsi"/>
                <w:lang w:eastAsia="en-IE"/>
              </w:rPr>
            </w:pPr>
            <w:r>
              <w:rPr>
                <w:rFonts w:eastAsia="Times New Roman" w:cstheme="minorHAnsi"/>
                <w:lang w:eastAsia="en-IE"/>
              </w:rPr>
              <w:t>Partially Accepted</w:t>
            </w:r>
          </w:p>
        </w:tc>
        <w:tc>
          <w:tcPr>
            <w:tcW w:w="5325" w:type="dxa"/>
          </w:tcPr>
          <w:p w14:paraId="7BE9219B" w14:textId="77777777" w:rsidR="000611A5" w:rsidRDefault="000611A5" w:rsidP="00357164">
            <w:pPr>
              <w:spacing w:after="160" w:line="259" w:lineRule="auto"/>
              <w:rPr>
                <w:rFonts w:eastAsia="Times New Roman" w:cstheme="minorHAnsi"/>
                <w:lang w:eastAsia="en-IE"/>
              </w:rPr>
            </w:pPr>
            <w:r>
              <w:rPr>
                <w:rFonts w:eastAsia="Times New Roman" w:cstheme="minorHAnsi"/>
                <w:lang w:eastAsia="en-IE"/>
              </w:rPr>
              <w:t xml:space="preserve">MARA will be responsible for managing the existing MHLGH foreshore consent portfolio.  No further foreshore consents will be granted by MHLGH with the exception of </w:t>
            </w:r>
            <w:r w:rsidRPr="12C04E55">
              <w:rPr>
                <w:rFonts w:eastAsiaTheme="minorEastAsia"/>
                <w:lang w:eastAsia="en-IE"/>
              </w:rPr>
              <w:t xml:space="preserve">applications on hand upon MARA establishment to be determined.  Minister for Agriculture, Food and the Marine foreshore consents will continue to be administered by that Department pending review in the context of Marine 2040. </w:t>
            </w:r>
            <w:r>
              <w:rPr>
                <w:rFonts w:eastAsia="Times New Roman" w:cstheme="minorHAnsi"/>
                <w:lang w:eastAsia="en-IE"/>
              </w:rPr>
              <w:t xml:space="preserve">  </w:t>
            </w:r>
          </w:p>
          <w:p w14:paraId="39BB36FD" w14:textId="77777777" w:rsidR="000611A5" w:rsidRPr="00AA6C27" w:rsidRDefault="000611A5" w:rsidP="00357164">
            <w:pPr>
              <w:spacing w:after="160" w:line="259" w:lineRule="auto"/>
              <w:rPr>
                <w:rFonts w:eastAsia="Times New Roman" w:cstheme="minorHAnsi"/>
                <w:lang w:eastAsia="en-IE"/>
              </w:rPr>
            </w:pPr>
            <w:r>
              <w:rPr>
                <w:rFonts w:eastAsia="Times New Roman" w:cstheme="minorHAnsi"/>
                <w:lang w:eastAsia="en-IE"/>
              </w:rPr>
              <w:t xml:space="preserve">MARA will consider MAC applications for all project types appropriate to the new regime. </w:t>
            </w:r>
          </w:p>
        </w:tc>
        <w:tc>
          <w:tcPr>
            <w:tcW w:w="1701" w:type="dxa"/>
          </w:tcPr>
          <w:p w14:paraId="5E394F2A" w14:textId="77777777" w:rsidR="000611A5" w:rsidRDefault="00AC1606" w:rsidP="00357164">
            <w:pPr>
              <w:rPr>
                <w:rFonts w:eastAsia="Times New Roman" w:cstheme="minorHAnsi"/>
                <w:lang w:eastAsia="en-IE"/>
              </w:rPr>
            </w:pPr>
            <w:r>
              <w:rPr>
                <w:rFonts w:eastAsia="Times New Roman" w:cstheme="minorHAnsi"/>
                <w:lang w:eastAsia="en-IE"/>
              </w:rPr>
              <w:t>Part 3</w:t>
            </w:r>
          </w:p>
        </w:tc>
      </w:tr>
      <w:tr w:rsidR="000611A5" w:rsidRPr="00AA6C27" w14:paraId="3C5CA050" w14:textId="77777777" w:rsidTr="000611A5">
        <w:tc>
          <w:tcPr>
            <w:tcW w:w="498" w:type="dxa"/>
          </w:tcPr>
          <w:p w14:paraId="081677BE" w14:textId="77777777" w:rsidR="000611A5" w:rsidRPr="00AA6C27" w:rsidRDefault="000611A5" w:rsidP="00357164">
            <w:pPr>
              <w:spacing w:after="160" w:line="259" w:lineRule="auto"/>
              <w:rPr>
                <w:rFonts w:eastAsia="Times New Roman" w:cstheme="minorHAnsi"/>
                <w:b/>
                <w:lang w:eastAsia="en-IE"/>
              </w:rPr>
            </w:pPr>
            <w:r w:rsidRPr="00AA6C27">
              <w:rPr>
                <w:rFonts w:eastAsia="Times New Roman" w:cstheme="minorHAnsi"/>
                <w:b/>
                <w:lang w:eastAsia="en-IE"/>
              </w:rPr>
              <w:t>29.</w:t>
            </w:r>
          </w:p>
        </w:tc>
        <w:tc>
          <w:tcPr>
            <w:tcW w:w="5167" w:type="dxa"/>
          </w:tcPr>
          <w:p w14:paraId="60FC7210" w14:textId="77777777" w:rsidR="000611A5" w:rsidRPr="00AA6C27" w:rsidRDefault="000611A5" w:rsidP="00357164">
            <w:pPr>
              <w:spacing w:after="160" w:line="259" w:lineRule="auto"/>
              <w:rPr>
                <w:rFonts w:eastAsia="Times New Roman" w:cstheme="minorHAnsi"/>
                <w:lang w:eastAsia="en-IE"/>
              </w:rPr>
            </w:pPr>
            <w:r w:rsidRPr="00AA6C27">
              <w:rPr>
                <w:rFonts w:eastAsia="Times New Roman" w:cstheme="minorHAnsi"/>
                <w:lang w:eastAsia="en-IE"/>
              </w:rPr>
              <w:t xml:space="preserve">Consideration be given to the provision of surety or bonds against the potential costs of cleaning up and/or otherwise remediating or addressing environmental </w:t>
            </w:r>
            <w:r w:rsidRPr="00AA6C27">
              <w:rPr>
                <w:rFonts w:eastAsia="Times New Roman" w:cstheme="minorHAnsi"/>
                <w:lang w:eastAsia="en-IE"/>
              </w:rPr>
              <w:lastRenderedPageBreak/>
              <w:t>damage in the marine environment consequent on activities or consents granted, and in respect of the costs associated with the retirement and proper disposal or re-use of materials deployed in the marine environment from consents granted to survey or develop in the marine environment.</w:t>
            </w:r>
          </w:p>
        </w:tc>
        <w:tc>
          <w:tcPr>
            <w:tcW w:w="1054" w:type="dxa"/>
          </w:tcPr>
          <w:p w14:paraId="4FB0B8F0" w14:textId="77777777" w:rsidR="000611A5" w:rsidRPr="000736E6" w:rsidRDefault="000611A5" w:rsidP="00D12780">
            <w:pPr>
              <w:rPr>
                <w:rFonts w:eastAsia="Times New Roman" w:cstheme="minorHAnsi"/>
                <w:lang w:eastAsia="en-IE"/>
              </w:rPr>
            </w:pPr>
            <w:r>
              <w:rPr>
                <w:rFonts w:eastAsia="Times New Roman" w:cstheme="minorHAnsi"/>
                <w:lang w:eastAsia="en-IE"/>
              </w:rPr>
              <w:lastRenderedPageBreak/>
              <w:t>Accepted</w:t>
            </w:r>
          </w:p>
        </w:tc>
        <w:tc>
          <w:tcPr>
            <w:tcW w:w="5325" w:type="dxa"/>
          </w:tcPr>
          <w:p w14:paraId="49B3A2F5" w14:textId="77777777" w:rsidR="000611A5" w:rsidRPr="00AA6C27" w:rsidRDefault="000611A5" w:rsidP="00D12780">
            <w:pPr>
              <w:spacing w:after="160" w:line="259" w:lineRule="auto"/>
              <w:rPr>
                <w:rFonts w:eastAsia="Times New Roman" w:cstheme="minorHAnsi"/>
                <w:lang w:eastAsia="en-IE"/>
              </w:rPr>
            </w:pPr>
            <w:r>
              <w:rPr>
                <w:rFonts w:eastAsia="Times New Roman" w:cstheme="minorHAnsi"/>
                <w:lang w:eastAsia="en-IE"/>
              </w:rPr>
              <w:t xml:space="preserve">MACs will contain a rehabilitation schedule setting out the “end of life” obligations on MAC holders to rehabilitate or restore the maritime area appropriately.  </w:t>
            </w:r>
            <w:r>
              <w:rPr>
                <w:rFonts w:eastAsia="Times New Roman" w:cstheme="minorHAnsi"/>
                <w:lang w:eastAsia="en-IE"/>
              </w:rPr>
              <w:lastRenderedPageBreak/>
              <w:t>This schedule may evolve over the lifetime of the MAC due to technological or best practice evolution.  MACs will also include a condition on holders to indemnify the State in relation to breach of the MAC conditions and any liabilities arising from the undertaking of the maritime usage including rehabilitation.</w:t>
            </w:r>
          </w:p>
        </w:tc>
        <w:tc>
          <w:tcPr>
            <w:tcW w:w="1701" w:type="dxa"/>
          </w:tcPr>
          <w:p w14:paraId="0B7F6DB2" w14:textId="77777777" w:rsidR="000611A5" w:rsidRDefault="00AC1606" w:rsidP="00D12780">
            <w:pPr>
              <w:rPr>
                <w:rFonts w:eastAsia="Times New Roman" w:cstheme="minorHAnsi"/>
                <w:lang w:eastAsia="en-IE"/>
              </w:rPr>
            </w:pPr>
            <w:r>
              <w:rPr>
                <w:rFonts w:eastAsia="Times New Roman" w:cstheme="minorHAnsi"/>
                <w:lang w:eastAsia="en-IE"/>
              </w:rPr>
              <w:lastRenderedPageBreak/>
              <w:t>Part 4</w:t>
            </w:r>
          </w:p>
          <w:p w14:paraId="329FED3A" w14:textId="77777777" w:rsidR="00AC1606" w:rsidRDefault="00AC1606" w:rsidP="00D12780">
            <w:pPr>
              <w:rPr>
                <w:rFonts w:eastAsia="Times New Roman" w:cstheme="minorHAnsi"/>
                <w:lang w:eastAsia="en-IE"/>
              </w:rPr>
            </w:pPr>
            <w:r>
              <w:rPr>
                <w:rFonts w:eastAsia="Times New Roman" w:cstheme="minorHAnsi"/>
                <w:lang w:eastAsia="en-IE"/>
              </w:rPr>
              <w:t>Schedule 6</w:t>
            </w:r>
          </w:p>
        </w:tc>
      </w:tr>
    </w:tbl>
    <w:p w14:paraId="487EF986" w14:textId="77777777" w:rsidR="00357164" w:rsidRPr="00357164" w:rsidRDefault="00357164" w:rsidP="00357164">
      <w:pPr>
        <w:rPr>
          <w:rFonts w:ascii="Arial" w:eastAsia="Times New Roman" w:hAnsi="Arial" w:cs="Arial"/>
          <w:b/>
          <w:sz w:val="24"/>
          <w:szCs w:val="24"/>
          <w:lang w:eastAsia="en-IE"/>
        </w:rPr>
      </w:pPr>
    </w:p>
    <w:p w14:paraId="4A376910" w14:textId="77777777" w:rsidR="00357164" w:rsidRDefault="00357164"/>
    <w:p w14:paraId="4AC66D6B" w14:textId="77777777" w:rsidR="004071D0" w:rsidRDefault="004071D0"/>
    <w:p w14:paraId="39607D36" w14:textId="77777777" w:rsidR="004071D0" w:rsidRDefault="004071D0"/>
    <w:p w14:paraId="45B04434" w14:textId="77777777" w:rsidR="004071D0" w:rsidRDefault="004071D0"/>
    <w:p w14:paraId="16355297" w14:textId="77777777" w:rsidR="004071D0" w:rsidRDefault="004071D0"/>
    <w:p w14:paraId="16AE1A37" w14:textId="77777777" w:rsidR="004071D0" w:rsidRDefault="004071D0"/>
    <w:p w14:paraId="30305BAA" w14:textId="77777777" w:rsidR="004071D0" w:rsidRDefault="004071D0"/>
    <w:p w14:paraId="4A395EA0" w14:textId="77777777" w:rsidR="000736E6" w:rsidRDefault="000736E6"/>
    <w:p w14:paraId="15F0001C" w14:textId="77777777" w:rsidR="000736E6" w:rsidRDefault="000736E6"/>
    <w:p w14:paraId="3340FFCC" w14:textId="77777777" w:rsidR="000736E6" w:rsidRDefault="000736E6"/>
    <w:p w14:paraId="5FA215D7" w14:textId="77777777" w:rsidR="000736E6" w:rsidRDefault="000736E6"/>
    <w:p w14:paraId="682CC60D" w14:textId="77777777" w:rsidR="004071D0" w:rsidRDefault="004071D0"/>
    <w:p w14:paraId="18B6BE9C" w14:textId="77777777" w:rsidR="004071D0" w:rsidRDefault="004071D0"/>
    <w:sectPr w:rsidR="004071D0" w:rsidSect="00254A77">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E6510" w14:textId="77777777" w:rsidR="00AC0D6C" w:rsidRDefault="00AC0D6C" w:rsidP="00B72BD6">
      <w:pPr>
        <w:spacing w:after="0" w:line="240" w:lineRule="auto"/>
      </w:pPr>
      <w:r>
        <w:separator/>
      </w:r>
    </w:p>
  </w:endnote>
  <w:endnote w:type="continuationSeparator" w:id="0">
    <w:p w14:paraId="4EAA0EBC" w14:textId="77777777" w:rsidR="00AC0D6C" w:rsidRDefault="00AC0D6C" w:rsidP="00B72BD6">
      <w:pPr>
        <w:spacing w:after="0" w:line="240" w:lineRule="auto"/>
      </w:pPr>
      <w:r>
        <w:continuationSeparator/>
      </w:r>
    </w:p>
  </w:endnote>
  <w:endnote w:type="continuationNotice" w:id="1">
    <w:p w14:paraId="53368B2F" w14:textId="77777777" w:rsidR="00AC0D6C" w:rsidRDefault="00AC0D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262820"/>
      <w:docPartObj>
        <w:docPartGallery w:val="Page Numbers (Bottom of Page)"/>
        <w:docPartUnique/>
      </w:docPartObj>
    </w:sdtPr>
    <w:sdtEndPr>
      <w:rPr>
        <w:noProof/>
      </w:rPr>
    </w:sdtEndPr>
    <w:sdtContent>
      <w:p w14:paraId="721087E8" w14:textId="77777777" w:rsidR="007F4DA7" w:rsidRDefault="007F4DA7">
        <w:pPr>
          <w:pStyle w:val="Footer"/>
          <w:jc w:val="right"/>
        </w:pPr>
        <w:r>
          <w:fldChar w:fldCharType="begin"/>
        </w:r>
        <w:r>
          <w:instrText xml:space="preserve"> PAGE   \* MERGEFORMAT </w:instrText>
        </w:r>
        <w:r>
          <w:fldChar w:fldCharType="separate"/>
        </w:r>
        <w:r w:rsidR="00586DDC">
          <w:rPr>
            <w:noProof/>
          </w:rPr>
          <w:t>13</w:t>
        </w:r>
        <w:r>
          <w:rPr>
            <w:noProof/>
          </w:rPr>
          <w:fldChar w:fldCharType="end"/>
        </w:r>
      </w:p>
    </w:sdtContent>
  </w:sdt>
  <w:p w14:paraId="7F3AB75A" w14:textId="77777777" w:rsidR="007F4DA7" w:rsidRDefault="007F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B3100" w14:textId="77777777" w:rsidR="00AC0D6C" w:rsidRDefault="00AC0D6C" w:rsidP="00B72BD6">
      <w:pPr>
        <w:spacing w:after="0" w:line="240" w:lineRule="auto"/>
      </w:pPr>
      <w:r>
        <w:separator/>
      </w:r>
    </w:p>
  </w:footnote>
  <w:footnote w:type="continuationSeparator" w:id="0">
    <w:p w14:paraId="4A484B5D" w14:textId="77777777" w:rsidR="00AC0D6C" w:rsidRDefault="00AC0D6C" w:rsidP="00B72BD6">
      <w:pPr>
        <w:spacing w:after="0" w:line="240" w:lineRule="auto"/>
      </w:pPr>
      <w:r>
        <w:continuationSeparator/>
      </w:r>
    </w:p>
  </w:footnote>
  <w:footnote w:type="continuationNotice" w:id="1">
    <w:p w14:paraId="12FA8945" w14:textId="77777777" w:rsidR="00AC0D6C" w:rsidRDefault="00AC0D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334998"/>
      <w:docPartObj>
        <w:docPartGallery w:val="Watermarks"/>
        <w:docPartUnique/>
      </w:docPartObj>
    </w:sdtPr>
    <w:sdtEndPr/>
    <w:sdtContent>
      <w:p w14:paraId="38BEAB20" w14:textId="77777777" w:rsidR="007F4DA7" w:rsidRDefault="009525E5">
        <w:pPr>
          <w:pStyle w:val="Header"/>
        </w:pPr>
        <w:r>
          <w:rPr>
            <w:noProof/>
            <w:lang w:val="en-US"/>
          </w:rPr>
          <w:pict w14:anchorId="5FEC91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95CE3"/>
    <w:multiLevelType w:val="hybridMultilevel"/>
    <w:tmpl w:val="5452525E"/>
    <w:lvl w:ilvl="0" w:tplc="BEEAD29C">
      <w:start w:val="1"/>
      <w:numFmt w:val="bullet"/>
      <w:lvlText w:val="•"/>
      <w:lvlJc w:val="left"/>
      <w:pPr>
        <w:tabs>
          <w:tab w:val="num" w:pos="720"/>
        </w:tabs>
        <w:ind w:left="720" w:hanging="360"/>
      </w:pPr>
      <w:rPr>
        <w:rFonts w:ascii="Arial" w:hAnsi="Arial" w:hint="default"/>
      </w:rPr>
    </w:lvl>
    <w:lvl w:ilvl="1" w:tplc="18090001">
      <w:start w:val="1"/>
      <w:numFmt w:val="bullet"/>
      <w:lvlText w:val=""/>
      <w:lvlJc w:val="left"/>
      <w:pPr>
        <w:tabs>
          <w:tab w:val="num" w:pos="1440"/>
        </w:tabs>
        <w:ind w:left="1440" w:hanging="360"/>
      </w:pPr>
      <w:rPr>
        <w:rFonts w:ascii="Symbol" w:hAnsi="Symbol" w:hint="default"/>
      </w:rPr>
    </w:lvl>
    <w:lvl w:ilvl="2" w:tplc="894818AE" w:tentative="1">
      <w:start w:val="1"/>
      <w:numFmt w:val="bullet"/>
      <w:lvlText w:val="•"/>
      <w:lvlJc w:val="left"/>
      <w:pPr>
        <w:tabs>
          <w:tab w:val="num" w:pos="2160"/>
        </w:tabs>
        <w:ind w:left="2160" w:hanging="360"/>
      </w:pPr>
      <w:rPr>
        <w:rFonts w:ascii="Arial" w:hAnsi="Arial" w:hint="default"/>
      </w:rPr>
    </w:lvl>
    <w:lvl w:ilvl="3" w:tplc="4276F960" w:tentative="1">
      <w:start w:val="1"/>
      <w:numFmt w:val="bullet"/>
      <w:lvlText w:val="•"/>
      <w:lvlJc w:val="left"/>
      <w:pPr>
        <w:tabs>
          <w:tab w:val="num" w:pos="2880"/>
        </w:tabs>
        <w:ind w:left="2880" w:hanging="360"/>
      </w:pPr>
      <w:rPr>
        <w:rFonts w:ascii="Arial" w:hAnsi="Arial" w:hint="default"/>
      </w:rPr>
    </w:lvl>
    <w:lvl w:ilvl="4" w:tplc="7CBCD86C" w:tentative="1">
      <w:start w:val="1"/>
      <w:numFmt w:val="bullet"/>
      <w:lvlText w:val="•"/>
      <w:lvlJc w:val="left"/>
      <w:pPr>
        <w:tabs>
          <w:tab w:val="num" w:pos="3600"/>
        </w:tabs>
        <w:ind w:left="3600" w:hanging="360"/>
      </w:pPr>
      <w:rPr>
        <w:rFonts w:ascii="Arial" w:hAnsi="Arial" w:hint="default"/>
      </w:rPr>
    </w:lvl>
    <w:lvl w:ilvl="5" w:tplc="2D4E9266" w:tentative="1">
      <w:start w:val="1"/>
      <w:numFmt w:val="bullet"/>
      <w:lvlText w:val="•"/>
      <w:lvlJc w:val="left"/>
      <w:pPr>
        <w:tabs>
          <w:tab w:val="num" w:pos="4320"/>
        </w:tabs>
        <w:ind w:left="4320" w:hanging="360"/>
      </w:pPr>
      <w:rPr>
        <w:rFonts w:ascii="Arial" w:hAnsi="Arial" w:hint="default"/>
      </w:rPr>
    </w:lvl>
    <w:lvl w:ilvl="6" w:tplc="C91839DE" w:tentative="1">
      <w:start w:val="1"/>
      <w:numFmt w:val="bullet"/>
      <w:lvlText w:val="•"/>
      <w:lvlJc w:val="left"/>
      <w:pPr>
        <w:tabs>
          <w:tab w:val="num" w:pos="5040"/>
        </w:tabs>
        <w:ind w:left="5040" w:hanging="360"/>
      </w:pPr>
      <w:rPr>
        <w:rFonts w:ascii="Arial" w:hAnsi="Arial" w:hint="default"/>
      </w:rPr>
    </w:lvl>
    <w:lvl w:ilvl="7" w:tplc="7486D77C" w:tentative="1">
      <w:start w:val="1"/>
      <w:numFmt w:val="bullet"/>
      <w:lvlText w:val="•"/>
      <w:lvlJc w:val="left"/>
      <w:pPr>
        <w:tabs>
          <w:tab w:val="num" w:pos="5760"/>
        </w:tabs>
        <w:ind w:left="5760" w:hanging="360"/>
      </w:pPr>
      <w:rPr>
        <w:rFonts w:ascii="Arial" w:hAnsi="Arial" w:hint="default"/>
      </w:rPr>
    </w:lvl>
    <w:lvl w:ilvl="8" w:tplc="41E09E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2A361A"/>
    <w:multiLevelType w:val="hybridMultilevel"/>
    <w:tmpl w:val="8FA06D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D96B9E"/>
    <w:multiLevelType w:val="hybridMultilevel"/>
    <w:tmpl w:val="3AEE45BE"/>
    <w:lvl w:ilvl="0" w:tplc="1809000B">
      <w:start w:val="1"/>
      <w:numFmt w:val="bullet"/>
      <w:lvlText w:val=""/>
      <w:lvlJc w:val="left"/>
      <w:pPr>
        <w:ind w:left="750" w:hanging="360"/>
      </w:pPr>
      <w:rPr>
        <w:rFonts w:ascii="Wingdings" w:hAnsi="Wingdings"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 w15:restartNumberingAfterBreak="0">
    <w:nsid w:val="18FA6CB8"/>
    <w:multiLevelType w:val="hybridMultilevel"/>
    <w:tmpl w:val="2736A9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10113E"/>
    <w:multiLevelType w:val="hybridMultilevel"/>
    <w:tmpl w:val="652261B6"/>
    <w:lvl w:ilvl="0" w:tplc="192C2EBE">
      <w:start w:val="1"/>
      <w:numFmt w:val="bullet"/>
      <w:lvlText w:val="•"/>
      <w:lvlJc w:val="left"/>
      <w:pPr>
        <w:tabs>
          <w:tab w:val="num" w:pos="720"/>
        </w:tabs>
        <w:ind w:left="720" w:hanging="360"/>
      </w:pPr>
      <w:rPr>
        <w:rFonts w:ascii="Arial" w:hAnsi="Arial" w:hint="default"/>
      </w:rPr>
    </w:lvl>
    <w:lvl w:ilvl="1" w:tplc="9D9E33B8">
      <w:start w:val="1"/>
      <w:numFmt w:val="bullet"/>
      <w:lvlText w:val="•"/>
      <w:lvlJc w:val="left"/>
      <w:pPr>
        <w:tabs>
          <w:tab w:val="num" w:pos="1440"/>
        </w:tabs>
        <w:ind w:left="1440" w:hanging="360"/>
      </w:pPr>
      <w:rPr>
        <w:rFonts w:ascii="Arial" w:hAnsi="Arial" w:hint="default"/>
      </w:rPr>
    </w:lvl>
    <w:lvl w:ilvl="2" w:tplc="7D189B76" w:tentative="1">
      <w:start w:val="1"/>
      <w:numFmt w:val="bullet"/>
      <w:lvlText w:val="•"/>
      <w:lvlJc w:val="left"/>
      <w:pPr>
        <w:tabs>
          <w:tab w:val="num" w:pos="2160"/>
        </w:tabs>
        <w:ind w:left="2160" w:hanging="360"/>
      </w:pPr>
      <w:rPr>
        <w:rFonts w:ascii="Arial" w:hAnsi="Arial" w:hint="default"/>
      </w:rPr>
    </w:lvl>
    <w:lvl w:ilvl="3" w:tplc="74BE4152">
      <w:start w:val="178"/>
      <w:numFmt w:val="bullet"/>
      <w:lvlText w:val="o"/>
      <w:lvlJc w:val="left"/>
      <w:pPr>
        <w:tabs>
          <w:tab w:val="num" w:pos="2880"/>
        </w:tabs>
        <w:ind w:left="2880" w:hanging="360"/>
      </w:pPr>
      <w:rPr>
        <w:rFonts w:ascii="Courier New" w:hAnsi="Courier New" w:hint="default"/>
      </w:rPr>
    </w:lvl>
    <w:lvl w:ilvl="4" w:tplc="4F469B80" w:tentative="1">
      <w:start w:val="1"/>
      <w:numFmt w:val="bullet"/>
      <w:lvlText w:val="•"/>
      <w:lvlJc w:val="left"/>
      <w:pPr>
        <w:tabs>
          <w:tab w:val="num" w:pos="3600"/>
        </w:tabs>
        <w:ind w:left="3600" w:hanging="360"/>
      </w:pPr>
      <w:rPr>
        <w:rFonts w:ascii="Arial" w:hAnsi="Arial" w:hint="default"/>
      </w:rPr>
    </w:lvl>
    <w:lvl w:ilvl="5" w:tplc="FE94342E" w:tentative="1">
      <w:start w:val="1"/>
      <w:numFmt w:val="bullet"/>
      <w:lvlText w:val="•"/>
      <w:lvlJc w:val="left"/>
      <w:pPr>
        <w:tabs>
          <w:tab w:val="num" w:pos="4320"/>
        </w:tabs>
        <w:ind w:left="4320" w:hanging="360"/>
      </w:pPr>
      <w:rPr>
        <w:rFonts w:ascii="Arial" w:hAnsi="Arial" w:hint="default"/>
      </w:rPr>
    </w:lvl>
    <w:lvl w:ilvl="6" w:tplc="1B88A576" w:tentative="1">
      <w:start w:val="1"/>
      <w:numFmt w:val="bullet"/>
      <w:lvlText w:val="•"/>
      <w:lvlJc w:val="left"/>
      <w:pPr>
        <w:tabs>
          <w:tab w:val="num" w:pos="5040"/>
        </w:tabs>
        <w:ind w:left="5040" w:hanging="360"/>
      </w:pPr>
      <w:rPr>
        <w:rFonts w:ascii="Arial" w:hAnsi="Arial" w:hint="default"/>
      </w:rPr>
    </w:lvl>
    <w:lvl w:ilvl="7" w:tplc="44469C2C" w:tentative="1">
      <w:start w:val="1"/>
      <w:numFmt w:val="bullet"/>
      <w:lvlText w:val="•"/>
      <w:lvlJc w:val="left"/>
      <w:pPr>
        <w:tabs>
          <w:tab w:val="num" w:pos="5760"/>
        </w:tabs>
        <w:ind w:left="5760" w:hanging="360"/>
      </w:pPr>
      <w:rPr>
        <w:rFonts w:ascii="Arial" w:hAnsi="Arial" w:hint="default"/>
      </w:rPr>
    </w:lvl>
    <w:lvl w:ilvl="8" w:tplc="BB5ADC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9375C6"/>
    <w:multiLevelType w:val="hybridMultilevel"/>
    <w:tmpl w:val="E8DE2F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A2F6E00"/>
    <w:multiLevelType w:val="hybridMultilevel"/>
    <w:tmpl w:val="7DC8C78C"/>
    <w:lvl w:ilvl="0" w:tplc="B89A897E">
      <w:start w:val="1"/>
      <w:numFmt w:val="bullet"/>
      <w:lvlText w:val="•"/>
      <w:lvlJc w:val="left"/>
      <w:pPr>
        <w:tabs>
          <w:tab w:val="num" w:pos="720"/>
        </w:tabs>
        <w:ind w:left="720" w:hanging="360"/>
      </w:pPr>
      <w:rPr>
        <w:rFonts w:ascii="Arial" w:hAnsi="Arial" w:hint="default"/>
      </w:rPr>
    </w:lvl>
    <w:lvl w:ilvl="1" w:tplc="18090001">
      <w:start w:val="1"/>
      <w:numFmt w:val="bullet"/>
      <w:lvlText w:val=""/>
      <w:lvlJc w:val="left"/>
      <w:pPr>
        <w:tabs>
          <w:tab w:val="num" w:pos="1440"/>
        </w:tabs>
        <w:ind w:left="1440" w:hanging="360"/>
      </w:pPr>
      <w:rPr>
        <w:rFonts w:ascii="Symbol" w:hAnsi="Symbol" w:hint="default"/>
      </w:rPr>
    </w:lvl>
    <w:lvl w:ilvl="2" w:tplc="049C5162" w:tentative="1">
      <w:start w:val="1"/>
      <w:numFmt w:val="bullet"/>
      <w:lvlText w:val="•"/>
      <w:lvlJc w:val="left"/>
      <w:pPr>
        <w:tabs>
          <w:tab w:val="num" w:pos="2160"/>
        </w:tabs>
        <w:ind w:left="2160" w:hanging="360"/>
      </w:pPr>
      <w:rPr>
        <w:rFonts w:ascii="Arial" w:hAnsi="Arial" w:hint="default"/>
      </w:rPr>
    </w:lvl>
    <w:lvl w:ilvl="3" w:tplc="70BC7390" w:tentative="1">
      <w:start w:val="1"/>
      <w:numFmt w:val="bullet"/>
      <w:lvlText w:val="•"/>
      <w:lvlJc w:val="left"/>
      <w:pPr>
        <w:tabs>
          <w:tab w:val="num" w:pos="2880"/>
        </w:tabs>
        <w:ind w:left="2880" w:hanging="360"/>
      </w:pPr>
      <w:rPr>
        <w:rFonts w:ascii="Arial" w:hAnsi="Arial" w:hint="default"/>
      </w:rPr>
    </w:lvl>
    <w:lvl w:ilvl="4" w:tplc="CE16BB60" w:tentative="1">
      <w:start w:val="1"/>
      <w:numFmt w:val="bullet"/>
      <w:lvlText w:val="•"/>
      <w:lvlJc w:val="left"/>
      <w:pPr>
        <w:tabs>
          <w:tab w:val="num" w:pos="3600"/>
        </w:tabs>
        <w:ind w:left="3600" w:hanging="360"/>
      </w:pPr>
      <w:rPr>
        <w:rFonts w:ascii="Arial" w:hAnsi="Arial" w:hint="default"/>
      </w:rPr>
    </w:lvl>
    <w:lvl w:ilvl="5" w:tplc="E2186668" w:tentative="1">
      <w:start w:val="1"/>
      <w:numFmt w:val="bullet"/>
      <w:lvlText w:val="•"/>
      <w:lvlJc w:val="left"/>
      <w:pPr>
        <w:tabs>
          <w:tab w:val="num" w:pos="4320"/>
        </w:tabs>
        <w:ind w:left="4320" w:hanging="360"/>
      </w:pPr>
      <w:rPr>
        <w:rFonts w:ascii="Arial" w:hAnsi="Arial" w:hint="default"/>
      </w:rPr>
    </w:lvl>
    <w:lvl w:ilvl="6" w:tplc="2AF21560" w:tentative="1">
      <w:start w:val="1"/>
      <w:numFmt w:val="bullet"/>
      <w:lvlText w:val="•"/>
      <w:lvlJc w:val="left"/>
      <w:pPr>
        <w:tabs>
          <w:tab w:val="num" w:pos="5040"/>
        </w:tabs>
        <w:ind w:left="5040" w:hanging="360"/>
      </w:pPr>
      <w:rPr>
        <w:rFonts w:ascii="Arial" w:hAnsi="Arial" w:hint="default"/>
      </w:rPr>
    </w:lvl>
    <w:lvl w:ilvl="7" w:tplc="80F49022" w:tentative="1">
      <w:start w:val="1"/>
      <w:numFmt w:val="bullet"/>
      <w:lvlText w:val="•"/>
      <w:lvlJc w:val="left"/>
      <w:pPr>
        <w:tabs>
          <w:tab w:val="num" w:pos="5760"/>
        </w:tabs>
        <w:ind w:left="5760" w:hanging="360"/>
      </w:pPr>
      <w:rPr>
        <w:rFonts w:ascii="Arial" w:hAnsi="Arial" w:hint="default"/>
      </w:rPr>
    </w:lvl>
    <w:lvl w:ilvl="8" w:tplc="01C0A5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A51BD3"/>
    <w:multiLevelType w:val="hybridMultilevel"/>
    <w:tmpl w:val="50240A4C"/>
    <w:lvl w:ilvl="0" w:tplc="18860E0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DBE7299"/>
    <w:multiLevelType w:val="hybridMultilevel"/>
    <w:tmpl w:val="4434E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95553C"/>
    <w:multiLevelType w:val="hybridMultilevel"/>
    <w:tmpl w:val="2B4EDB38"/>
    <w:lvl w:ilvl="0" w:tplc="B89A897E">
      <w:start w:val="1"/>
      <w:numFmt w:val="bullet"/>
      <w:lvlText w:val="•"/>
      <w:lvlJc w:val="left"/>
      <w:pPr>
        <w:tabs>
          <w:tab w:val="num" w:pos="720"/>
        </w:tabs>
        <w:ind w:left="720" w:hanging="360"/>
      </w:pPr>
      <w:rPr>
        <w:rFonts w:ascii="Arial" w:hAnsi="Arial" w:hint="default"/>
      </w:rPr>
    </w:lvl>
    <w:lvl w:ilvl="1" w:tplc="18090001">
      <w:start w:val="1"/>
      <w:numFmt w:val="bullet"/>
      <w:lvlText w:val=""/>
      <w:lvlJc w:val="left"/>
      <w:pPr>
        <w:tabs>
          <w:tab w:val="num" w:pos="1440"/>
        </w:tabs>
        <w:ind w:left="1440" w:hanging="360"/>
      </w:pPr>
      <w:rPr>
        <w:rFonts w:ascii="Symbol" w:hAnsi="Symbol" w:hint="default"/>
      </w:rPr>
    </w:lvl>
    <w:lvl w:ilvl="2" w:tplc="049C5162" w:tentative="1">
      <w:start w:val="1"/>
      <w:numFmt w:val="bullet"/>
      <w:lvlText w:val="•"/>
      <w:lvlJc w:val="left"/>
      <w:pPr>
        <w:tabs>
          <w:tab w:val="num" w:pos="2160"/>
        </w:tabs>
        <w:ind w:left="2160" w:hanging="360"/>
      </w:pPr>
      <w:rPr>
        <w:rFonts w:ascii="Arial" w:hAnsi="Arial" w:hint="default"/>
      </w:rPr>
    </w:lvl>
    <w:lvl w:ilvl="3" w:tplc="70BC7390" w:tentative="1">
      <w:start w:val="1"/>
      <w:numFmt w:val="bullet"/>
      <w:lvlText w:val="•"/>
      <w:lvlJc w:val="left"/>
      <w:pPr>
        <w:tabs>
          <w:tab w:val="num" w:pos="2880"/>
        </w:tabs>
        <w:ind w:left="2880" w:hanging="360"/>
      </w:pPr>
      <w:rPr>
        <w:rFonts w:ascii="Arial" w:hAnsi="Arial" w:hint="default"/>
      </w:rPr>
    </w:lvl>
    <w:lvl w:ilvl="4" w:tplc="CE16BB60" w:tentative="1">
      <w:start w:val="1"/>
      <w:numFmt w:val="bullet"/>
      <w:lvlText w:val="•"/>
      <w:lvlJc w:val="left"/>
      <w:pPr>
        <w:tabs>
          <w:tab w:val="num" w:pos="3600"/>
        </w:tabs>
        <w:ind w:left="3600" w:hanging="360"/>
      </w:pPr>
      <w:rPr>
        <w:rFonts w:ascii="Arial" w:hAnsi="Arial" w:hint="default"/>
      </w:rPr>
    </w:lvl>
    <w:lvl w:ilvl="5" w:tplc="E2186668" w:tentative="1">
      <w:start w:val="1"/>
      <w:numFmt w:val="bullet"/>
      <w:lvlText w:val="•"/>
      <w:lvlJc w:val="left"/>
      <w:pPr>
        <w:tabs>
          <w:tab w:val="num" w:pos="4320"/>
        </w:tabs>
        <w:ind w:left="4320" w:hanging="360"/>
      </w:pPr>
      <w:rPr>
        <w:rFonts w:ascii="Arial" w:hAnsi="Arial" w:hint="default"/>
      </w:rPr>
    </w:lvl>
    <w:lvl w:ilvl="6" w:tplc="2AF21560" w:tentative="1">
      <w:start w:val="1"/>
      <w:numFmt w:val="bullet"/>
      <w:lvlText w:val="•"/>
      <w:lvlJc w:val="left"/>
      <w:pPr>
        <w:tabs>
          <w:tab w:val="num" w:pos="5040"/>
        </w:tabs>
        <w:ind w:left="5040" w:hanging="360"/>
      </w:pPr>
      <w:rPr>
        <w:rFonts w:ascii="Arial" w:hAnsi="Arial" w:hint="default"/>
      </w:rPr>
    </w:lvl>
    <w:lvl w:ilvl="7" w:tplc="80F49022" w:tentative="1">
      <w:start w:val="1"/>
      <w:numFmt w:val="bullet"/>
      <w:lvlText w:val="•"/>
      <w:lvlJc w:val="left"/>
      <w:pPr>
        <w:tabs>
          <w:tab w:val="num" w:pos="5760"/>
        </w:tabs>
        <w:ind w:left="5760" w:hanging="360"/>
      </w:pPr>
      <w:rPr>
        <w:rFonts w:ascii="Arial" w:hAnsi="Arial" w:hint="default"/>
      </w:rPr>
    </w:lvl>
    <w:lvl w:ilvl="8" w:tplc="01C0A5E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722EA7"/>
    <w:multiLevelType w:val="hybridMultilevel"/>
    <w:tmpl w:val="FD2E69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F901419"/>
    <w:multiLevelType w:val="hybridMultilevel"/>
    <w:tmpl w:val="A7AAB3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7423E1C"/>
    <w:multiLevelType w:val="hybridMultilevel"/>
    <w:tmpl w:val="12D8640A"/>
    <w:lvl w:ilvl="0" w:tplc="192C2EBE">
      <w:start w:val="1"/>
      <w:numFmt w:val="bullet"/>
      <w:lvlText w:val="•"/>
      <w:lvlJc w:val="left"/>
      <w:pPr>
        <w:tabs>
          <w:tab w:val="num" w:pos="720"/>
        </w:tabs>
        <w:ind w:left="720" w:hanging="360"/>
      </w:pPr>
      <w:rPr>
        <w:rFonts w:ascii="Arial" w:hAnsi="Arial" w:hint="default"/>
      </w:rPr>
    </w:lvl>
    <w:lvl w:ilvl="1" w:tplc="18090001">
      <w:start w:val="1"/>
      <w:numFmt w:val="bullet"/>
      <w:lvlText w:val=""/>
      <w:lvlJc w:val="left"/>
      <w:pPr>
        <w:tabs>
          <w:tab w:val="num" w:pos="1440"/>
        </w:tabs>
        <w:ind w:left="1440" w:hanging="360"/>
      </w:pPr>
      <w:rPr>
        <w:rFonts w:ascii="Symbol" w:hAnsi="Symbol" w:hint="default"/>
      </w:rPr>
    </w:lvl>
    <w:lvl w:ilvl="2" w:tplc="7D189B76" w:tentative="1">
      <w:start w:val="1"/>
      <w:numFmt w:val="bullet"/>
      <w:lvlText w:val="•"/>
      <w:lvlJc w:val="left"/>
      <w:pPr>
        <w:tabs>
          <w:tab w:val="num" w:pos="2160"/>
        </w:tabs>
        <w:ind w:left="2160" w:hanging="360"/>
      </w:pPr>
      <w:rPr>
        <w:rFonts w:ascii="Arial" w:hAnsi="Arial" w:hint="default"/>
      </w:rPr>
    </w:lvl>
    <w:lvl w:ilvl="3" w:tplc="74BE4152">
      <w:start w:val="178"/>
      <w:numFmt w:val="bullet"/>
      <w:lvlText w:val="o"/>
      <w:lvlJc w:val="left"/>
      <w:pPr>
        <w:tabs>
          <w:tab w:val="num" w:pos="2880"/>
        </w:tabs>
        <w:ind w:left="2880" w:hanging="360"/>
      </w:pPr>
      <w:rPr>
        <w:rFonts w:ascii="Courier New" w:hAnsi="Courier New" w:hint="default"/>
      </w:rPr>
    </w:lvl>
    <w:lvl w:ilvl="4" w:tplc="4F469B80" w:tentative="1">
      <w:start w:val="1"/>
      <w:numFmt w:val="bullet"/>
      <w:lvlText w:val="•"/>
      <w:lvlJc w:val="left"/>
      <w:pPr>
        <w:tabs>
          <w:tab w:val="num" w:pos="3600"/>
        </w:tabs>
        <w:ind w:left="3600" w:hanging="360"/>
      </w:pPr>
      <w:rPr>
        <w:rFonts w:ascii="Arial" w:hAnsi="Arial" w:hint="default"/>
      </w:rPr>
    </w:lvl>
    <w:lvl w:ilvl="5" w:tplc="FE94342E" w:tentative="1">
      <w:start w:val="1"/>
      <w:numFmt w:val="bullet"/>
      <w:lvlText w:val="•"/>
      <w:lvlJc w:val="left"/>
      <w:pPr>
        <w:tabs>
          <w:tab w:val="num" w:pos="4320"/>
        </w:tabs>
        <w:ind w:left="4320" w:hanging="360"/>
      </w:pPr>
      <w:rPr>
        <w:rFonts w:ascii="Arial" w:hAnsi="Arial" w:hint="default"/>
      </w:rPr>
    </w:lvl>
    <w:lvl w:ilvl="6" w:tplc="1B88A576" w:tentative="1">
      <w:start w:val="1"/>
      <w:numFmt w:val="bullet"/>
      <w:lvlText w:val="•"/>
      <w:lvlJc w:val="left"/>
      <w:pPr>
        <w:tabs>
          <w:tab w:val="num" w:pos="5040"/>
        </w:tabs>
        <w:ind w:left="5040" w:hanging="360"/>
      </w:pPr>
      <w:rPr>
        <w:rFonts w:ascii="Arial" w:hAnsi="Arial" w:hint="default"/>
      </w:rPr>
    </w:lvl>
    <w:lvl w:ilvl="7" w:tplc="44469C2C" w:tentative="1">
      <w:start w:val="1"/>
      <w:numFmt w:val="bullet"/>
      <w:lvlText w:val="•"/>
      <w:lvlJc w:val="left"/>
      <w:pPr>
        <w:tabs>
          <w:tab w:val="num" w:pos="5760"/>
        </w:tabs>
        <w:ind w:left="5760" w:hanging="360"/>
      </w:pPr>
      <w:rPr>
        <w:rFonts w:ascii="Arial" w:hAnsi="Arial" w:hint="default"/>
      </w:rPr>
    </w:lvl>
    <w:lvl w:ilvl="8" w:tplc="BB5ADC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870F43"/>
    <w:multiLevelType w:val="hybridMultilevel"/>
    <w:tmpl w:val="454A9C1C"/>
    <w:lvl w:ilvl="0" w:tplc="18090001">
      <w:start w:val="1"/>
      <w:numFmt w:val="bullet"/>
      <w:lvlText w:val=""/>
      <w:lvlJc w:val="left"/>
      <w:pPr>
        <w:ind w:left="900" w:hanging="360"/>
      </w:pPr>
      <w:rPr>
        <w:rFonts w:ascii="Symbol" w:hAnsi="Symbol" w:hint="default"/>
      </w:rPr>
    </w:lvl>
    <w:lvl w:ilvl="1" w:tplc="18090003">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14" w15:restartNumberingAfterBreak="0">
    <w:nsid w:val="65B46E91"/>
    <w:multiLevelType w:val="hybridMultilevel"/>
    <w:tmpl w:val="FB904C6E"/>
    <w:lvl w:ilvl="0" w:tplc="192C2EBE">
      <w:start w:val="1"/>
      <w:numFmt w:val="bullet"/>
      <w:lvlText w:val="•"/>
      <w:lvlJc w:val="left"/>
      <w:pPr>
        <w:tabs>
          <w:tab w:val="num" w:pos="720"/>
        </w:tabs>
        <w:ind w:left="720" w:hanging="360"/>
      </w:pPr>
      <w:rPr>
        <w:rFonts w:ascii="Arial" w:hAnsi="Arial" w:hint="default"/>
      </w:rPr>
    </w:lvl>
    <w:lvl w:ilvl="1" w:tplc="18090001">
      <w:start w:val="1"/>
      <w:numFmt w:val="bullet"/>
      <w:lvlText w:val=""/>
      <w:lvlJc w:val="left"/>
      <w:pPr>
        <w:tabs>
          <w:tab w:val="num" w:pos="1440"/>
        </w:tabs>
        <w:ind w:left="1440" w:hanging="360"/>
      </w:pPr>
      <w:rPr>
        <w:rFonts w:ascii="Symbol" w:hAnsi="Symbol" w:hint="default"/>
      </w:rPr>
    </w:lvl>
    <w:lvl w:ilvl="2" w:tplc="7D189B76" w:tentative="1">
      <w:start w:val="1"/>
      <w:numFmt w:val="bullet"/>
      <w:lvlText w:val="•"/>
      <w:lvlJc w:val="left"/>
      <w:pPr>
        <w:tabs>
          <w:tab w:val="num" w:pos="2160"/>
        </w:tabs>
        <w:ind w:left="2160" w:hanging="360"/>
      </w:pPr>
      <w:rPr>
        <w:rFonts w:ascii="Arial" w:hAnsi="Arial" w:hint="default"/>
      </w:rPr>
    </w:lvl>
    <w:lvl w:ilvl="3" w:tplc="74BE4152">
      <w:start w:val="178"/>
      <w:numFmt w:val="bullet"/>
      <w:lvlText w:val="o"/>
      <w:lvlJc w:val="left"/>
      <w:pPr>
        <w:tabs>
          <w:tab w:val="num" w:pos="2880"/>
        </w:tabs>
        <w:ind w:left="2880" w:hanging="360"/>
      </w:pPr>
      <w:rPr>
        <w:rFonts w:ascii="Courier New" w:hAnsi="Courier New" w:hint="default"/>
      </w:rPr>
    </w:lvl>
    <w:lvl w:ilvl="4" w:tplc="4F469B80" w:tentative="1">
      <w:start w:val="1"/>
      <w:numFmt w:val="bullet"/>
      <w:lvlText w:val="•"/>
      <w:lvlJc w:val="left"/>
      <w:pPr>
        <w:tabs>
          <w:tab w:val="num" w:pos="3600"/>
        </w:tabs>
        <w:ind w:left="3600" w:hanging="360"/>
      </w:pPr>
      <w:rPr>
        <w:rFonts w:ascii="Arial" w:hAnsi="Arial" w:hint="default"/>
      </w:rPr>
    </w:lvl>
    <w:lvl w:ilvl="5" w:tplc="FE94342E" w:tentative="1">
      <w:start w:val="1"/>
      <w:numFmt w:val="bullet"/>
      <w:lvlText w:val="•"/>
      <w:lvlJc w:val="left"/>
      <w:pPr>
        <w:tabs>
          <w:tab w:val="num" w:pos="4320"/>
        </w:tabs>
        <w:ind w:left="4320" w:hanging="360"/>
      </w:pPr>
      <w:rPr>
        <w:rFonts w:ascii="Arial" w:hAnsi="Arial" w:hint="default"/>
      </w:rPr>
    </w:lvl>
    <w:lvl w:ilvl="6" w:tplc="1B88A576" w:tentative="1">
      <w:start w:val="1"/>
      <w:numFmt w:val="bullet"/>
      <w:lvlText w:val="•"/>
      <w:lvlJc w:val="left"/>
      <w:pPr>
        <w:tabs>
          <w:tab w:val="num" w:pos="5040"/>
        </w:tabs>
        <w:ind w:left="5040" w:hanging="360"/>
      </w:pPr>
      <w:rPr>
        <w:rFonts w:ascii="Arial" w:hAnsi="Arial" w:hint="default"/>
      </w:rPr>
    </w:lvl>
    <w:lvl w:ilvl="7" w:tplc="44469C2C" w:tentative="1">
      <w:start w:val="1"/>
      <w:numFmt w:val="bullet"/>
      <w:lvlText w:val="•"/>
      <w:lvlJc w:val="left"/>
      <w:pPr>
        <w:tabs>
          <w:tab w:val="num" w:pos="5760"/>
        </w:tabs>
        <w:ind w:left="5760" w:hanging="360"/>
      </w:pPr>
      <w:rPr>
        <w:rFonts w:ascii="Arial" w:hAnsi="Arial" w:hint="default"/>
      </w:rPr>
    </w:lvl>
    <w:lvl w:ilvl="8" w:tplc="BB5ADC5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0E4877"/>
    <w:multiLevelType w:val="hybridMultilevel"/>
    <w:tmpl w:val="621E993A"/>
    <w:lvl w:ilvl="0" w:tplc="192C2EBE">
      <w:start w:val="1"/>
      <w:numFmt w:val="bullet"/>
      <w:lvlText w:val="•"/>
      <w:lvlJc w:val="left"/>
      <w:pPr>
        <w:tabs>
          <w:tab w:val="num" w:pos="720"/>
        </w:tabs>
        <w:ind w:left="720" w:hanging="360"/>
      </w:pPr>
      <w:rPr>
        <w:rFonts w:ascii="Arial" w:hAnsi="Arial" w:hint="default"/>
      </w:rPr>
    </w:lvl>
    <w:lvl w:ilvl="1" w:tplc="18090001">
      <w:start w:val="1"/>
      <w:numFmt w:val="bullet"/>
      <w:lvlText w:val=""/>
      <w:lvlJc w:val="left"/>
      <w:pPr>
        <w:tabs>
          <w:tab w:val="num" w:pos="1440"/>
        </w:tabs>
        <w:ind w:left="1440" w:hanging="360"/>
      </w:pPr>
      <w:rPr>
        <w:rFonts w:ascii="Symbol" w:hAnsi="Symbol" w:hint="default"/>
      </w:rPr>
    </w:lvl>
    <w:lvl w:ilvl="2" w:tplc="7D189B76" w:tentative="1">
      <w:start w:val="1"/>
      <w:numFmt w:val="bullet"/>
      <w:lvlText w:val="•"/>
      <w:lvlJc w:val="left"/>
      <w:pPr>
        <w:tabs>
          <w:tab w:val="num" w:pos="2160"/>
        </w:tabs>
        <w:ind w:left="2160" w:hanging="360"/>
      </w:pPr>
      <w:rPr>
        <w:rFonts w:ascii="Arial" w:hAnsi="Arial" w:hint="default"/>
      </w:rPr>
    </w:lvl>
    <w:lvl w:ilvl="3" w:tplc="74BE4152">
      <w:start w:val="178"/>
      <w:numFmt w:val="bullet"/>
      <w:lvlText w:val="o"/>
      <w:lvlJc w:val="left"/>
      <w:pPr>
        <w:tabs>
          <w:tab w:val="num" w:pos="2880"/>
        </w:tabs>
        <w:ind w:left="2880" w:hanging="360"/>
      </w:pPr>
      <w:rPr>
        <w:rFonts w:ascii="Courier New" w:hAnsi="Courier New" w:hint="default"/>
      </w:rPr>
    </w:lvl>
    <w:lvl w:ilvl="4" w:tplc="4F469B80" w:tentative="1">
      <w:start w:val="1"/>
      <w:numFmt w:val="bullet"/>
      <w:lvlText w:val="•"/>
      <w:lvlJc w:val="left"/>
      <w:pPr>
        <w:tabs>
          <w:tab w:val="num" w:pos="3600"/>
        </w:tabs>
        <w:ind w:left="3600" w:hanging="360"/>
      </w:pPr>
      <w:rPr>
        <w:rFonts w:ascii="Arial" w:hAnsi="Arial" w:hint="default"/>
      </w:rPr>
    </w:lvl>
    <w:lvl w:ilvl="5" w:tplc="FE94342E" w:tentative="1">
      <w:start w:val="1"/>
      <w:numFmt w:val="bullet"/>
      <w:lvlText w:val="•"/>
      <w:lvlJc w:val="left"/>
      <w:pPr>
        <w:tabs>
          <w:tab w:val="num" w:pos="4320"/>
        </w:tabs>
        <w:ind w:left="4320" w:hanging="360"/>
      </w:pPr>
      <w:rPr>
        <w:rFonts w:ascii="Arial" w:hAnsi="Arial" w:hint="default"/>
      </w:rPr>
    </w:lvl>
    <w:lvl w:ilvl="6" w:tplc="1B88A576" w:tentative="1">
      <w:start w:val="1"/>
      <w:numFmt w:val="bullet"/>
      <w:lvlText w:val="•"/>
      <w:lvlJc w:val="left"/>
      <w:pPr>
        <w:tabs>
          <w:tab w:val="num" w:pos="5040"/>
        </w:tabs>
        <w:ind w:left="5040" w:hanging="360"/>
      </w:pPr>
      <w:rPr>
        <w:rFonts w:ascii="Arial" w:hAnsi="Arial" w:hint="default"/>
      </w:rPr>
    </w:lvl>
    <w:lvl w:ilvl="7" w:tplc="44469C2C" w:tentative="1">
      <w:start w:val="1"/>
      <w:numFmt w:val="bullet"/>
      <w:lvlText w:val="•"/>
      <w:lvlJc w:val="left"/>
      <w:pPr>
        <w:tabs>
          <w:tab w:val="num" w:pos="5760"/>
        </w:tabs>
        <w:ind w:left="5760" w:hanging="360"/>
      </w:pPr>
      <w:rPr>
        <w:rFonts w:ascii="Arial" w:hAnsi="Arial" w:hint="default"/>
      </w:rPr>
    </w:lvl>
    <w:lvl w:ilvl="8" w:tplc="BB5ADC5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8711D7"/>
    <w:multiLevelType w:val="hybridMultilevel"/>
    <w:tmpl w:val="3D8457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19414E8"/>
    <w:multiLevelType w:val="hybridMultilevel"/>
    <w:tmpl w:val="668C79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737567A"/>
    <w:multiLevelType w:val="hybridMultilevel"/>
    <w:tmpl w:val="B7305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81E65E7"/>
    <w:multiLevelType w:val="hybridMultilevel"/>
    <w:tmpl w:val="414664C8"/>
    <w:lvl w:ilvl="0" w:tplc="C234CA0E">
      <w:start w:val="1"/>
      <w:numFmt w:val="decimal"/>
      <w:lvlText w:val="%1."/>
      <w:lvlJc w:val="left"/>
      <w:pPr>
        <w:ind w:left="720" w:hanging="360"/>
      </w:pPr>
      <w:rPr>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9"/>
  </w:num>
  <w:num w:numId="2">
    <w:abstractNumId w:val="7"/>
  </w:num>
  <w:num w:numId="3">
    <w:abstractNumId w:val="2"/>
  </w:num>
  <w:num w:numId="4">
    <w:abstractNumId w:val="13"/>
  </w:num>
  <w:num w:numId="5">
    <w:abstractNumId w:val="18"/>
  </w:num>
  <w:num w:numId="6">
    <w:abstractNumId w:val="8"/>
  </w:num>
  <w:num w:numId="7">
    <w:abstractNumId w:val="1"/>
  </w:num>
  <w:num w:numId="8">
    <w:abstractNumId w:val="5"/>
  </w:num>
  <w:num w:numId="9">
    <w:abstractNumId w:val="4"/>
  </w:num>
  <w:num w:numId="10">
    <w:abstractNumId w:val="0"/>
  </w:num>
  <w:num w:numId="11">
    <w:abstractNumId w:val="10"/>
  </w:num>
  <w:num w:numId="12">
    <w:abstractNumId w:val="9"/>
  </w:num>
  <w:num w:numId="13">
    <w:abstractNumId w:val="6"/>
  </w:num>
  <w:num w:numId="14">
    <w:abstractNumId w:val="12"/>
  </w:num>
  <w:num w:numId="15">
    <w:abstractNumId w:val="15"/>
  </w:num>
  <w:num w:numId="16">
    <w:abstractNumId w:val="14"/>
  </w:num>
  <w:num w:numId="17">
    <w:abstractNumId w:val="3"/>
  </w:num>
  <w:num w:numId="18">
    <w:abstractNumId w:val="16"/>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BD6"/>
    <w:rsid w:val="000611A5"/>
    <w:rsid w:val="000678EE"/>
    <w:rsid w:val="000736E6"/>
    <w:rsid w:val="0009688D"/>
    <w:rsid w:val="000A2AD8"/>
    <w:rsid w:val="000D782D"/>
    <w:rsid w:val="00190E8F"/>
    <w:rsid w:val="001A8C9F"/>
    <w:rsid w:val="001B68DC"/>
    <w:rsid w:val="001D1C3A"/>
    <w:rsid w:val="001D5AA6"/>
    <w:rsid w:val="001E1C8E"/>
    <w:rsid w:val="001F1F50"/>
    <w:rsid w:val="001F74F7"/>
    <w:rsid w:val="00222006"/>
    <w:rsid w:val="00254A77"/>
    <w:rsid w:val="00265F44"/>
    <w:rsid w:val="002A520A"/>
    <w:rsid w:val="002A5E0E"/>
    <w:rsid w:val="002B12C2"/>
    <w:rsid w:val="002F473F"/>
    <w:rsid w:val="0030489F"/>
    <w:rsid w:val="003331A9"/>
    <w:rsid w:val="0034169B"/>
    <w:rsid w:val="00357164"/>
    <w:rsid w:val="003714D1"/>
    <w:rsid w:val="00377B3A"/>
    <w:rsid w:val="0039086C"/>
    <w:rsid w:val="003A0F3F"/>
    <w:rsid w:val="003B3B34"/>
    <w:rsid w:val="003B43BB"/>
    <w:rsid w:val="003B6863"/>
    <w:rsid w:val="003C2A0F"/>
    <w:rsid w:val="003E50FA"/>
    <w:rsid w:val="003F3D65"/>
    <w:rsid w:val="004071D0"/>
    <w:rsid w:val="00413AE8"/>
    <w:rsid w:val="004144DA"/>
    <w:rsid w:val="004268A6"/>
    <w:rsid w:val="00454A63"/>
    <w:rsid w:val="004610BE"/>
    <w:rsid w:val="004648C0"/>
    <w:rsid w:val="004C5B98"/>
    <w:rsid w:val="004F4163"/>
    <w:rsid w:val="0050798F"/>
    <w:rsid w:val="00516C93"/>
    <w:rsid w:val="00531017"/>
    <w:rsid w:val="00555393"/>
    <w:rsid w:val="005554B3"/>
    <w:rsid w:val="005762EB"/>
    <w:rsid w:val="0058597D"/>
    <w:rsid w:val="00586DDC"/>
    <w:rsid w:val="005902E2"/>
    <w:rsid w:val="00592BCB"/>
    <w:rsid w:val="00593922"/>
    <w:rsid w:val="005A57DA"/>
    <w:rsid w:val="005B455C"/>
    <w:rsid w:val="005D4BB7"/>
    <w:rsid w:val="005F31F4"/>
    <w:rsid w:val="00645A41"/>
    <w:rsid w:val="006738D2"/>
    <w:rsid w:val="00676D57"/>
    <w:rsid w:val="006A38B4"/>
    <w:rsid w:val="006F2427"/>
    <w:rsid w:val="006F4B80"/>
    <w:rsid w:val="007055D1"/>
    <w:rsid w:val="007255DF"/>
    <w:rsid w:val="00734484"/>
    <w:rsid w:val="0074516A"/>
    <w:rsid w:val="00745DA7"/>
    <w:rsid w:val="007B0350"/>
    <w:rsid w:val="007B6309"/>
    <w:rsid w:val="007C375B"/>
    <w:rsid w:val="007C6C9A"/>
    <w:rsid w:val="007D7AE0"/>
    <w:rsid w:val="007E7849"/>
    <w:rsid w:val="007F4DA7"/>
    <w:rsid w:val="00801A1A"/>
    <w:rsid w:val="00834111"/>
    <w:rsid w:val="00836872"/>
    <w:rsid w:val="008718C7"/>
    <w:rsid w:val="00885E2B"/>
    <w:rsid w:val="00890488"/>
    <w:rsid w:val="008A42E7"/>
    <w:rsid w:val="008B4779"/>
    <w:rsid w:val="008B563D"/>
    <w:rsid w:val="008B6AEE"/>
    <w:rsid w:val="008C6B54"/>
    <w:rsid w:val="0090424C"/>
    <w:rsid w:val="009376E1"/>
    <w:rsid w:val="009525E5"/>
    <w:rsid w:val="009A0F2E"/>
    <w:rsid w:val="009B6825"/>
    <w:rsid w:val="009D1ABA"/>
    <w:rsid w:val="009D38D1"/>
    <w:rsid w:val="00A10BB9"/>
    <w:rsid w:val="00A312EE"/>
    <w:rsid w:val="00A32B57"/>
    <w:rsid w:val="00A33234"/>
    <w:rsid w:val="00A37AC2"/>
    <w:rsid w:val="00A5786A"/>
    <w:rsid w:val="00A90BFD"/>
    <w:rsid w:val="00A977FE"/>
    <w:rsid w:val="00AA62EB"/>
    <w:rsid w:val="00AA6C27"/>
    <w:rsid w:val="00AB01B9"/>
    <w:rsid w:val="00AB140B"/>
    <w:rsid w:val="00AB3ABF"/>
    <w:rsid w:val="00AC0D6C"/>
    <w:rsid w:val="00AC1606"/>
    <w:rsid w:val="00AC7D10"/>
    <w:rsid w:val="00B0621A"/>
    <w:rsid w:val="00B303E3"/>
    <w:rsid w:val="00B35C2E"/>
    <w:rsid w:val="00B35E33"/>
    <w:rsid w:val="00B72BD6"/>
    <w:rsid w:val="00B753D2"/>
    <w:rsid w:val="00B81798"/>
    <w:rsid w:val="00B90829"/>
    <w:rsid w:val="00BA2674"/>
    <w:rsid w:val="00BA6548"/>
    <w:rsid w:val="00BD7B93"/>
    <w:rsid w:val="00BE58F6"/>
    <w:rsid w:val="00BE5E39"/>
    <w:rsid w:val="00C10A13"/>
    <w:rsid w:val="00C46147"/>
    <w:rsid w:val="00C70A06"/>
    <w:rsid w:val="00C849A2"/>
    <w:rsid w:val="00CA3E39"/>
    <w:rsid w:val="00CA7987"/>
    <w:rsid w:val="00D038D9"/>
    <w:rsid w:val="00D12780"/>
    <w:rsid w:val="00D23B67"/>
    <w:rsid w:val="00D25E79"/>
    <w:rsid w:val="00D474A4"/>
    <w:rsid w:val="00D779C0"/>
    <w:rsid w:val="00D8346F"/>
    <w:rsid w:val="00D861A9"/>
    <w:rsid w:val="00DB0952"/>
    <w:rsid w:val="00DD056C"/>
    <w:rsid w:val="00DD48A5"/>
    <w:rsid w:val="00DE5FBD"/>
    <w:rsid w:val="00DF4394"/>
    <w:rsid w:val="00E06F0E"/>
    <w:rsid w:val="00E11703"/>
    <w:rsid w:val="00E13A41"/>
    <w:rsid w:val="00E30510"/>
    <w:rsid w:val="00E365B7"/>
    <w:rsid w:val="00E45B5C"/>
    <w:rsid w:val="00E942E7"/>
    <w:rsid w:val="00EA0525"/>
    <w:rsid w:val="00EB61B4"/>
    <w:rsid w:val="00EC190B"/>
    <w:rsid w:val="00ED62DA"/>
    <w:rsid w:val="00F1497A"/>
    <w:rsid w:val="00F21ED5"/>
    <w:rsid w:val="00F41B05"/>
    <w:rsid w:val="00F6051A"/>
    <w:rsid w:val="00F7011F"/>
    <w:rsid w:val="00F717C5"/>
    <w:rsid w:val="00F732F2"/>
    <w:rsid w:val="00F76E02"/>
    <w:rsid w:val="00F771EA"/>
    <w:rsid w:val="00F81AE5"/>
    <w:rsid w:val="00F91B78"/>
    <w:rsid w:val="00FD704D"/>
    <w:rsid w:val="00FE6F8E"/>
    <w:rsid w:val="09540025"/>
    <w:rsid w:val="1265709A"/>
    <w:rsid w:val="12C04E55"/>
    <w:rsid w:val="1C770AAC"/>
    <w:rsid w:val="24ABA7A6"/>
    <w:rsid w:val="37D045C4"/>
    <w:rsid w:val="3D39104A"/>
    <w:rsid w:val="47C279B1"/>
    <w:rsid w:val="481C100E"/>
    <w:rsid w:val="4AF92C2A"/>
    <w:rsid w:val="5120E709"/>
    <w:rsid w:val="78D10755"/>
    <w:rsid w:val="7D4115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C21A80"/>
  <w15:chartTrackingRefBased/>
  <w15:docId w15:val="{3B1EA576-4704-4E33-BFD5-8D04E08D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D6"/>
    <w:pPr>
      <w:ind w:left="720"/>
      <w:contextualSpacing/>
    </w:pPr>
  </w:style>
  <w:style w:type="paragraph" w:styleId="FootnoteText">
    <w:name w:val="footnote text"/>
    <w:basedOn w:val="Normal"/>
    <w:link w:val="FootnoteTextChar"/>
    <w:uiPriority w:val="99"/>
    <w:semiHidden/>
    <w:unhideWhenUsed/>
    <w:rsid w:val="00B72B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BD6"/>
    <w:rPr>
      <w:sz w:val="20"/>
      <w:szCs w:val="20"/>
    </w:rPr>
  </w:style>
  <w:style w:type="character" w:styleId="FootnoteReference">
    <w:name w:val="footnote reference"/>
    <w:basedOn w:val="DefaultParagraphFont"/>
    <w:uiPriority w:val="99"/>
    <w:semiHidden/>
    <w:unhideWhenUsed/>
    <w:rsid w:val="00B72BD6"/>
    <w:rPr>
      <w:vertAlign w:val="superscript"/>
    </w:rPr>
  </w:style>
  <w:style w:type="character" w:styleId="Hyperlink">
    <w:name w:val="Hyperlink"/>
    <w:basedOn w:val="DefaultParagraphFont"/>
    <w:uiPriority w:val="99"/>
    <w:unhideWhenUsed/>
    <w:rsid w:val="00B72BD6"/>
    <w:rPr>
      <w:color w:val="0563C1" w:themeColor="hyperlink"/>
      <w:u w:val="single"/>
    </w:rPr>
  </w:style>
  <w:style w:type="paragraph" w:styleId="Footer">
    <w:name w:val="footer"/>
    <w:basedOn w:val="Normal"/>
    <w:link w:val="FooterChar"/>
    <w:uiPriority w:val="99"/>
    <w:unhideWhenUsed/>
    <w:rsid w:val="00B72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BD6"/>
  </w:style>
  <w:style w:type="table" w:styleId="TableGrid">
    <w:name w:val="Table Grid"/>
    <w:basedOn w:val="TableNormal"/>
    <w:uiPriority w:val="39"/>
    <w:rsid w:val="00357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6872"/>
    <w:rPr>
      <w:sz w:val="16"/>
      <w:szCs w:val="16"/>
    </w:rPr>
  </w:style>
  <w:style w:type="paragraph" w:styleId="CommentText">
    <w:name w:val="annotation text"/>
    <w:basedOn w:val="Normal"/>
    <w:link w:val="CommentTextChar"/>
    <w:uiPriority w:val="99"/>
    <w:semiHidden/>
    <w:unhideWhenUsed/>
    <w:rsid w:val="00836872"/>
    <w:pPr>
      <w:spacing w:line="240" w:lineRule="auto"/>
    </w:pPr>
    <w:rPr>
      <w:sz w:val="20"/>
      <w:szCs w:val="20"/>
    </w:rPr>
  </w:style>
  <w:style w:type="character" w:customStyle="1" w:styleId="CommentTextChar">
    <w:name w:val="Comment Text Char"/>
    <w:basedOn w:val="DefaultParagraphFont"/>
    <w:link w:val="CommentText"/>
    <w:uiPriority w:val="99"/>
    <w:semiHidden/>
    <w:rsid w:val="00836872"/>
    <w:rPr>
      <w:sz w:val="20"/>
      <w:szCs w:val="20"/>
    </w:rPr>
  </w:style>
  <w:style w:type="paragraph" w:styleId="CommentSubject">
    <w:name w:val="annotation subject"/>
    <w:basedOn w:val="CommentText"/>
    <w:next w:val="CommentText"/>
    <w:link w:val="CommentSubjectChar"/>
    <w:uiPriority w:val="99"/>
    <w:semiHidden/>
    <w:unhideWhenUsed/>
    <w:rsid w:val="00836872"/>
    <w:rPr>
      <w:b/>
      <w:bCs/>
    </w:rPr>
  </w:style>
  <w:style w:type="character" w:customStyle="1" w:styleId="CommentSubjectChar">
    <w:name w:val="Comment Subject Char"/>
    <w:basedOn w:val="CommentTextChar"/>
    <w:link w:val="CommentSubject"/>
    <w:uiPriority w:val="99"/>
    <w:semiHidden/>
    <w:rsid w:val="00836872"/>
    <w:rPr>
      <w:b/>
      <w:bCs/>
      <w:sz w:val="20"/>
      <w:szCs w:val="20"/>
    </w:rPr>
  </w:style>
  <w:style w:type="paragraph" w:styleId="BalloonText">
    <w:name w:val="Balloon Text"/>
    <w:basedOn w:val="Normal"/>
    <w:link w:val="BalloonTextChar"/>
    <w:uiPriority w:val="99"/>
    <w:semiHidden/>
    <w:unhideWhenUsed/>
    <w:rsid w:val="00836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872"/>
    <w:rPr>
      <w:rFonts w:ascii="Segoe UI" w:hAnsi="Segoe UI" w:cs="Segoe UI"/>
      <w:sz w:val="18"/>
      <w:szCs w:val="18"/>
    </w:rPr>
  </w:style>
  <w:style w:type="paragraph" w:styleId="Header">
    <w:name w:val="header"/>
    <w:basedOn w:val="Normal"/>
    <w:link w:val="HeaderChar"/>
    <w:uiPriority w:val="99"/>
    <w:unhideWhenUsed/>
    <w:rsid w:val="00B75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3D2"/>
  </w:style>
  <w:style w:type="paragraph" w:styleId="NormalWeb">
    <w:name w:val="Normal (Web)"/>
    <w:basedOn w:val="Normal"/>
    <w:uiPriority w:val="99"/>
    <w:unhideWhenUsed/>
    <w:rsid w:val="00BD7B9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BD7B93"/>
  </w:style>
  <w:style w:type="character" w:customStyle="1" w:styleId="eop">
    <w:name w:val="eop"/>
    <w:basedOn w:val="DefaultParagraphFont"/>
    <w:rsid w:val="00BD7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4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ie/en/publication/e00ec-marine-protected-are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F8D5A13473A0489F58D4B4392684FB" ma:contentTypeVersion="0" ma:contentTypeDescription="Create a new document." ma:contentTypeScope="" ma:versionID="358c8d8e67f03ec9e5dd93cd4729703b">
  <xsd:schema xmlns:xsd="http://www.w3.org/2001/XMLSchema" xmlns:xs="http://www.w3.org/2001/XMLSchema" xmlns:p="http://schemas.microsoft.com/office/2006/metadata/properties" targetNamespace="http://schemas.microsoft.com/office/2006/metadata/properties" ma:root="true" ma:fieldsID="810fcf742abcdb89cd1268bbd527ed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3CE6F-3E91-478B-9F3F-E12973F66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722031-CE5C-4C53-9C25-EB0F0DC89E5A}">
  <ds:schemaRefs>
    <ds:schemaRef ds:uri="http://schemas.microsoft.com/sharepoint/v3/contenttype/forms"/>
  </ds:schemaRefs>
</ds:datastoreItem>
</file>

<file path=customXml/itemProps3.xml><?xml version="1.0" encoding="utf-8"?>
<ds:datastoreItem xmlns:ds="http://schemas.openxmlformats.org/officeDocument/2006/customXml" ds:itemID="{26770D9C-F8FD-4B76-9B62-AD8FB2AF1B64}">
  <ds:schemaRefs>
    <ds:schemaRef ds:uri="http://schemas.microsoft.com/office/2006/metadata/properties"/>
    <ds:schemaRef ds:uri="http://schemas.microsoft.com/office/infopath/2007/PartnerControls"/>
    <ds:schemaRef ds:uri="a874f7be-bce0-41d2-8f4e-51076220a2a3"/>
    <ds:schemaRef ds:uri="http://schemas.microsoft.com/sharepoint/v3"/>
    <ds:schemaRef ds:uri="d88980da-983f-404d-b2f5-ff0c2d02bc0b"/>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3654</Words>
  <Characters>20833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Carolan (Housing)</dc:creator>
  <cp:keywords/>
  <dc:description/>
  <cp:lastModifiedBy>Anthony Dollard</cp:lastModifiedBy>
  <cp:revision>2</cp:revision>
  <dcterms:created xsi:type="dcterms:W3CDTF">2021-09-22T11:30:00Z</dcterms:created>
  <dcterms:modified xsi:type="dcterms:W3CDTF">2021-09-22T11:30:00Z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0x01010008F8D5A13473A0489F58D4B4392684FB</vt:lpwstr>
  </property>
  <property fmtid="{D5CDD505-2E9C-101B-9397-08002B2CF9AE}" pid="3" name="eDocs_Year">
    <vt:lpwstr>1;#2020|2956df6f-614f-4357-a8f5-b167a2c64320</vt:lpwstr>
  </property>
  <property fmtid="{D5CDD505-2E9C-101B-9397-08002B2CF9AE}" pid="4" name="eDocs_SeriesSubSeries">
    <vt:lpwstr>13;#010|ff62d95d-6d20-40a4-8c13-db0302202590</vt:lpwstr>
  </property>
  <property fmtid="{D5CDD505-2E9C-101B-9397-08002B2CF9AE}" pid="5" name="eDocs_FileTopics">
    <vt:lpwstr>5;#Oireachtas|d2c4c442-f4d1-46a3-aa0b-b82caa10bea6;#6;#MPDM|76f0d7bc-68e9-486f-9f81-50c09dcbae20;#7;#Bill|279fb7e7-24a6-46ca-88d8-21a2adfa630e</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