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E870" w14:textId="77777777" w:rsidR="00F55220" w:rsidRDefault="00F55220"/>
    <w:p w14:paraId="7DD9D9DD" w14:textId="39C3906D" w:rsidR="00F55220" w:rsidRPr="00155D22" w:rsidRDefault="00155D22">
      <w:pPr>
        <w:rPr>
          <w:b/>
        </w:rPr>
      </w:pPr>
      <w:r w:rsidRPr="00155D22">
        <w:rPr>
          <w:b/>
        </w:rPr>
        <w:t xml:space="preserve">Attachment – Legislative Provisions not yet </w:t>
      </w:r>
      <w:proofErr w:type="gramStart"/>
      <w:r w:rsidRPr="00155D22">
        <w:rPr>
          <w:b/>
        </w:rPr>
        <w:t>Commenced</w:t>
      </w:r>
      <w:proofErr w:type="gramEnd"/>
    </w:p>
    <w:tbl>
      <w:tblPr>
        <w:tblStyle w:val="TableGrid"/>
        <w:tblW w:w="9351" w:type="dxa"/>
        <w:tblLook w:val="04A0" w:firstRow="1" w:lastRow="0" w:firstColumn="1" w:lastColumn="0" w:noHBand="0" w:noVBand="1"/>
      </w:tblPr>
      <w:tblGrid>
        <w:gridCol w:w="3005"/>
        <w:gridCol w:w="3005"/>
        <w:gridCol w:w="3341"/>
      </w:tblGrid>
      <w:tr w:rsidR="00A800D8" w:rsidRPr="00D72A98" w14:paraId="6F09DFB1" w14:textId="779E7EDF" w:rsidTr="00A800D8">
        <w:tc>
          <w:tcPr>
            <w:tcW w:w="3005" w:type="dxa"/>
          </w:tcPr>
          <w:p w14:paraId="6F35A466" w14:textId="5246B6A6" w:rsidR="00A800D8" w:rsidRPr="00D72A98" w:rsidRDefault="00A800D8" w:rsidP="00BF1F5E">
            <w:pPr>
              <w:rPr>
                <w:rFonts w:ascii="Calibri" w:hAnsi="Calibri" w:cs="Arial"/>
                <w:b/>
                <w:sz w:val="24"/>
                <w:szCs w:val="24"/>
              </w:rPr>
            </w:pPr>
            <w:r w:rsidRPr="00D72A98">
              <w:rPr>
                <w:rFonts w:ascii="Calibri" w:hAnsi="Calibri" w:cs="Arial"/>
                <w:b/>
                <w:sz w:val="24"/>
                <w:szCs w:val="24"/>
              </w:rPr>
              <w:t>Title of Act</w:t>
            </w:r>
          </w:p>
        </w:tc>
        <w:tc>
          <w:tcPr>
            <w:tcW w:w="3005" w:type="dxa"/>
          </w:tcPr>
          <w:p w14:paraId="77F0CCC5" w14:textId="7F1D6B77" w:rsidR="00A800D8" w:rsidRPr="00D72A98" w:rsidRDefault="00A800D8" w:rsidP="00BF1F5E">
            <w:pPr>
              <w:rPr>
                <w:rFonts w:ascii="Calibri" w:hAnsi="Calibri" w:cs="Arial"/>
                <w:b/>
                <w:sz w:val="24"/>
                <w:szCs w:val="24"/>
              </w:rPr>
            </w:pPr>
            <w:r w:rsidRPr="00D72A98">
              <w:rPr>
                <w:rFonts w:ascii="Calibri" w:hAnsi="Calibri" w:cs="Arial"/>
                <w:b/>
                <w:sz w:val="24"/>
                <w:szCs w:val="24"/>
              </w:rPr>
              <w:t>Legislative Provision not yet Commenced</w:t>
            </w:r>
          </w:p>
        </w:tc>
        <w:tc>
          <w:tcPr>
            <w:tcW w:w="3341" w:type="dxa"/>
          </w:tcPr>
          <w:p w14:paraId="6BEC9B2C" w14:textId="45D10A20" w:rsidR="00A800D8" w:rsidRPr="00D72A98" w:rsidRDefault="00A800D8" w:rsidP="004F4D19">
            <w:pPr>
              <w:rPr>
                <w:rFonts w:ascii="Calibri" w:hAnsi="Calibri" w:cs="Arial"/>
                <w:b/>
                <w:sz w:val="24"/>
                <w:szCs w:val="24"/>
              </w:rPr>
            </w:pPr>
            <w:r>
              <w:rPr>
                <w:rFonts w:ascii="Calibri" w:hAnsi="Calibri" w:cs="Arial"/>
                <w:b/>
                <w:sz w:val="24"/>
                <w:szCs w:val="24"/>
              </w:rPr>
              <w:t>D</w:t>
            </w:r>
            <w:r w:rsidR="004F4D19">
              <w:rPr>
                <w:rFonts w:ascii="Calibri" w:hAnsi="Calibri" w:cs="Arial"/>
                <w:b/>
                <w:sz w:val="24"/>
                <w:szCs w:val="24"/>
              </w:rPr>
              <w:t>etails</w:t>
            </w:r>
            <w:r w:rsidR="005B4988">
              <w:rPr>
                <w:rFonts w:ascii="Calibri" w:hAnsi="Calibri" w:cs="Arial"/>
                <w:b/>
                <w:sz w:val="24"/>
                <w:szCs w:val="24"/>
              </w:rPr>
              <w:t>/Reasons for non-Commencement</w:t>
            </w:r>
          </w:p>
        </w:tc>
      </w:tr>
      <w:tr w:rsidR="00A800D8" w:rsidRPr="008D5CFD" w14:paraId="1C2CF615" w14:textId="41E8CC4D" w:rsidTr="00A800D8">
        <w:tc>
          <w:tcPr>
            <w:tcW w:w="3005" w:type="dxa"/>
          </w:tcPr>
          <w:p w14:paraId="68D77B1D" w14:textId="2FCA5760" w:rsidR="00A800D8" w:rsidRPr="008D5CFD" w:rsidRDefault="00DF22C0" w:rsidP="00BF1F5E">
            <w:pPr>
              <w:rPr>
                <w:rFonts w:ascii="Calibri" w:hAnsi="Calibri"/>
                <w:sz w:val="24"/>
              </w:rPr>
            </w:pPr>
            <w:r>
              <w:rPr>
                <w:rFonts w:ascii="Calibri" w:hAnsi="Calibri"/>
                <w:sz w:val="24"/>
              </w:rPr>
              <w:t>Electoral Act 1997</w:t>
            </w:r>
          </w:p>
        </w:tc>
        <w:tc>
          <w:tcPr>
            <w:tcW w:w="3005" w:type="dxa"/>
          </w:tcPr>
          <w:p w14:paraId="2D9B0471" w14:textId="68DE4635" w:rsidR="00A800D8" w:rsidRPr="008D5CFD" w:rsidRDefault="00DF22C0" w:rsidP="00BF1F5E">
            <w:pPr>
              <w:rPr>
                <w:rFonts w:ascii="Calibri" w:hAnsi="Calibri"/>
                <w:sz w:val="24"/>
              </w:rPr>
            </w:pPr>
            <w:r>
              <w:rPr>
                <w:rFonts w:ascii="Calibri" w:hAnsi="Calibri"/>
                <w:sz w:val="24"/>
              </w:rPr>
              <w:t>Section 79</w:t>
            </w:r>
          </w:p>
        </w:tc>
        <w:tc>
          <w:tcPr>
            <w:tcW w:w="3341" w:type="dxa"/>
          </w:tcPr>
          <w:p w14:paraId="2F063506" w14:textId="03F3C046" w:rsidR="00A800D8" w:rsidRPr="008D5CFD" w:rsidRDefault="00A800D8" w:rsidP="00BF1F5E">
            <w:pPr>
              <w:rPr>
                <w:rFonts w:ascii="Calibri" w:hAnsi="Calibri"/>
                <w:sz w:val="24"/>
              </w:rPr>
            </w:pPr>
            <w:r w:rsidRPr="008D5CFD">
              <w:rPr>
                <w:rFonts w:ascii="Calibri" w:hAnsi="Calibri"/>
                <w:sz w:val="24"/>
              </w:rPr>
              <w:t xml:space="preserve">Section 79 provides for amendments to the Electoral Act 1992, the Presidential Elections Act 1993 and the Referendum Act 1994 to allow for greater flexibility in relation to when the counting of votes might commence and when refreshment breaks may be taken at </w:t>
            </w:r>
            <w:proofErr w:type="spellStart"/>
            <w:r w:rsidRPr="008D5CFD">
              <w:rPr>
                <w:rFonts w:ascii="Calibri" w:hAnsi="Calibri"/>
                <w:sz w:val="24"/>
              </w:rPr>
              <w:t>Dáil</w:t>
            </w:r>
            <w:proofErr w:type="spellEnd"/>
            <w:r w:rsidRPr="008D5CFD">
              <w:rPr>
                <w:rFonts w:ascii="Calibri" w:hAnsi="Calibri"/>
                <w:sz w:val="24"/>
              </w:rPr>
              <w:t xml:space="preserve"> and Presidential elections as well as at referendums.  The current arrangements in relation to the counting of votes and refreshment breaks at these elections and at referendums are considered to be satisfactory.  The need to commence section 79 of the Electoral Act 1997 is not considered necessary at this point in time but will be kept under review.</w:t>
            </w:r>
          </w:p>
        </w:tc>
      </w:tr>
      <w:tr w:rsidR="00A800D8" w:rsidRPr="008D5CFD" w14:paraId="0FE052E9" w14:textId="55DF58B1" w:rsidTr="00A800D8">
        <w:tc>
          <w:tcPr>
            <w:tcW w:w="3005" w:type="dxa"/>
          </w:tcPr>
          <w:p w14:paraId="03E94160" w14:textId="1017D94F" w:rsidR="00A800D8" w:rsidRPr="008D5CFD" w:rsidRDefault="00DF22C0" w:rsidP="00BF1F5E">
            <w:pPr>
              <w:rPr>
                <w:rFonts w:ascii="Calibri" w:hAnsi="Calibri"/>
                <w:sz w:val="24"/>
              </w:rPr>
            </w:pPr>
            <w:r>
              <w:rPr>
                <w:rFonts w:ascii="Calibri" w:hAnsi="Calibri"/>
                <w:sz w:val="24"/>
              </w:rPr>
              <w:t>Electoral (Amendment) Act 2004</w:t>
            </w:r>
          </w:p>
        </w:tc>
        <w:tc>
          <w:tcPr>
            <w:tcW w:w="3005" w:type="dxa"/>
          </w:tcPr>
          <w:p w14:paraId="5B2D76CD" w14:textId="77777777" w:rsidR="00A800D8" w:rsidRPr="008D5CFD" w:rsidRDefault="00A800D8" w:rsidP="00B03622">
            <w:pPr>
              <w:rPr>
                <w:rFonts w:ascii="Calibri" w:hAnsi="Calibri"/>
                <w:sz w:val="24"/>
              </w:rPr>
            </w:pPr>
            <w:r w:rsidRPr="008D5CFD">
              <w:rPr>
                <w:rFonts w:ascii="Calibri" w:hAnsi="Calibri"/>
                <w:sz w:val="24"/>
              </w:rPr>
              <w:t xml:space="preserve">Sections 5(1) to 5(3); </w:t>
            </w:r>
          </w:p>
          <w:p w14:paraId="7A338A89" w14:textId="77777777" w:rsidR="00A800D8" w:rsidRPr="008D5CFD" w:rsidRDefault="00A800D8" w:rsidP="00B03622">
            <w:pPr>
              <w:rPr>
                <w:rFonts w:ascii="Calibri" w:hAnsi="Calibri"/>
                <w:sz w:val="24"/>
              </w:rPr>
            </w:pPr>
            <w:r w:rsidRPr="008D5CFD">
              <w:rPr>
                <w:rFonts w:ascii="Calibri" w:hAnsi="Calibri"/>
                <w:sz w:val="24"/>
              </w:rPr>
              <w:t xml:space="preserve">Sections 5(5) and 5(6); </w:t>
            </w:r>
          </w:p>
          <w:p w14:paraId="26569179" w14:textId="77777777" w:rsidR="00A800D8" w:rsidRPr="008D5CFD" w:rsidRDefault="00A800D8" w:rsidP="00B03622">
            <w:pPr>
              <w:rPr>
                <w:rFonts w:ascii="Calibri" w:hAnsi="Calibri"/>
                <w:sz w:val="24"/>
              </w:rPr>
            </w:pPr>
            <w:r w:rsidRPr="008D5CFD">
              <w:rPr>
                <w:rFonts w:ascii="Calibri" w:hAnsi="Calibri"/>
                <w:sz w:val="24"/>
              </w:rPr>
              <w:t xml:space="preserve">Sections 6 to 16; </w:t>
            </w:r>
          </w:p>
          <w:p w14:paraId="6217916B" w14:textId="77777777" w:rsidR="00A800D8" w:rsidRPr="008D5CFD" w:rsidRDefault="00A800D8" w:rsidP="00B03622">
            <w:pPr>
              <w:rPr>
                <w:rFonts w:ascii="Calibri" w:hAnsi="Calibri"/>
                <w:sz w:val="24"/>
              </w:rPr>
            </w:pPr>
            <w:r w:rsidRPr="008D5CFD">
              <w:rPr>
                <w:rFonts w:ascii="Calibri" w:hAnsi="Calibri"/>
                <w:sz w:val="24"/>
              </w:rPr>
              <w:t xml:space="preserve">Sections 30 to 32; and </w:t>
            </w:r>
          </w:p>
          <w:p w14:paraId="267DA6C4" w14:textId="0535490B" w:rsidR="00A800D8" w:rsidRPr="008D5CFD" w:rsidRDefault="00DF22C0" w:rsidP="00B03622">
            <w:pPr>
              <w:rPr>
                <w:rFonts w:ascii="Calibri" w:hAnsi="Calibri"/>
                <w:sz w:val="24"/>
              </w:rPr>
            </w:pPr>
            <w:r>
              <w:rPr>
                <w:rFonts w:ascii="Calibri" w:hAnsi="Calibri"/>
                <w:sz w:val="24"/>
              </w:rPr>
              <w:t>Schedules 1 to 4</w:t>
            </w:r>
          </w:p>
        </w:tc>
        <w:tc>
          <w:tcPr>
            <w:tcW w:w="3341" w:type="dxa"/>
          </w:tcPr>
          <w:p w14:paraId="3D736B18" w14:textId="2A5E1A5F" w:rsidR="00A800D8" w:rsidRPr="008D5CFD" w:rsidRDefault="00A800D8" w:rsidP="00C32817">
            <w:pPr>
              <w:rPr>
                <w:rFonts w:ascii="Calibri" w:hAnsi="Calibri"/>
                <w:sz w:val="24"/>
              </w:rPr>
            </w:pPr>
            <w:r w:rsidRPr="008D5CFD">
              <w:rPr>
                <w:rFonts w:ascii="Calibri" w:hAnsi="Calibri"/>
                <w:sz w:val="24"/>
              </w:rPr>
              <w:t xml:space="preserve">These provisions relate to electronic voting and are obsolete given the Government </w:t>
            </w:r>
            <w:r>
              <w:rPr>
                <w:rFonts w:ascii="Calibri" w:hAnsi="Calibri"/>
                <w:sz w:val="24"/>
              </w:rPr>
              <w:t>d</w:t>
            </w:r>
            <w:r w:rsidRPr="008D5CFD">
              <w:rPr>
                <w:rFonts w:ascii="Calibri" w:hAnsi="Calibri"/>
                <w:sz w:val="24"/>
              </w:rPr>
              <w:t>eci</w:t>
            </w:r>
            <w:r>
              <w:rPr>
                <w:rFonts w:ascii="Calibri" w:hAnsi="Calibri"/>
                <w:sz w:val="24"/>
              </w:rPr>
              <w:t>sion</w:t>
            </w:r>
            <w:r w:rsidRPr="008D5CFD">
              <w:rPr>
                <w:rFonts w:ascii="Calibri" w:hAnsi="Calibri"/>
                <w:sz w:val="24"/>
              </w:rPr>
              <w:t>, in 2008, not to proceed with the implementation of electronic voting in Ireland.</w:t>
            </w:r>
          </w:p>
        </w:tc>
      </w:tr>
      <w:tr w:rsidR="00A800D8" w:rsidRPr="008D5CFD" w14:paraId="4EC42383" w14:textId="2C2F0EE3" w:rsidTr="00A800D8">
        <w:tc>
          <w:tcPr>
            <w:tcW w:w="3005" w:type="dxa"/>
          </w:tcPr>
          <w:p w14:paraId="09B5C85E" w14:textId="4FF4F5D8" w:rsidR="00A800D8" w:rsidRPr="008D5CFD" w:rsidRDefault="00A800D8" w:rsidP="00BF1F5E">
            <w:pPr>
              <w:rPr>
                <w:rFonts w:ascii="Calibri" w:hAnsi="Calibri"/>
                <w:sz w:val="24"/>
              </w:rPr>
            </w:pPr>
            <w:r w:rsidRPr="008D5CFD">
              <w:rPr>
                <w:rFonts w:ascii="Calibri" w:hAnsi="Calibri"/>
                <w:sz w:val="24"/>
              </w:rPr>
              <w:t>European Parliament</w:t>
            </w:r>
            <w:r w:rsidR="00DF22C0">
              <w:rPr>
                <w:rFonts w:ascii="Calibri" w:hAnsi="Calibri"/>
                <w:sz w:val="24"/>
              </w:rPr>
              <w:t xml:space="preserve"> Elections (Amendment) Act 2019</w:t>
            </w:r>
          </w:p>
        </w:tc>
        <w:tc>
          <w:tcPr>
            <w:tcW w:w="3005" w:type="dxa"/>
          </w:tcPr>
          <w:p w14:paraId="1DD46D81" w14:textId="7EE4842A" w:rsidR="00A800D8" w:rsidRPr="008D5CFD" w:rsidRDefault="00DF22C0" w:rsidP="00BF1F5E">
            <w:pPr>
              <w:rPr>
                <w:rFonts w:ascii="Calibri" w:hAnsi="Calibri"/>
                <w:sz w:val="24"/>
              </w:rPr>
            </w:pPr>
            <w:r>
              <w:rPr>
                <w:rFonts w:ascii="Calibri" w:hAnsi="Calibri"/>
                <w:sz w:val="24"/>
              </w:rPr>
              <w:t>Section 2</w:t>
            </w:r>
          </w:p>
        </w:tc>
        <w:tc>
          <w:tcPr>
            <w:tcW w:w="3341" w:type="dxa"/>
          </w:tcPr>
          <w:p w14:paraId="7979BFE8" w14:textId="0B5E1BEE" w:rsidR="00A800D8" w:rsidRPr="008D5CFD" w:rsidRDefault="00A800D8" w:rsidP="002A4BCF">
            <w:pPr>
              <w:rPr>
                <w:rFonts w:ascii="Calibri" w:hAnsi="Calibri"/>
                <w:sz w:val="24"/>
              </w:rPr>
            </w:pPr>
            <w:r w:rsidRPr="008D5CFD">
              <w:rPr>
                <w:rFonts w:ascii="Calibri" w:hAnsi="Calibri"/>
                <w:sz w:val="24"/>
              </w:rPr>
              <w:t xml:space="preserve">Section 2 of the European Parliament Elections (Amendment) Act 2019 amends section 6 of the European Parliament Elections Act 1997 to remove the exemptions provided to citizens from the United Kingdom resident in the State and to Irish citizens resident in the United Kingdom from certain information requirements connected with entry on to the Register of </w:t>
            </w:r>
            <w:r w:rsidRPr="008D5CFD">
              <w:rPr>
                <w:rFonts w:ascii="Calibri" w:hAnsi="Calibri"/>
                <w:sz w:val="24"/>
              </w:rPr>
              <w:lastRenderedPageBreak/>
              <w:t xml:space="preserve">European Electors.  These amendments are now redundant given </w:t>
            </w:r>
            <w:r>
              <w:rPr>
                <w:rFonts w:ascii="Calibri" w:hAnsi="Calibri"/>
                <w:sz w:val="24"/>
              </w:rPr>
              <w:t xml:space="preserve">that </w:t>
            </w:r>
            <w:r w:rsidRPr="008D5CFD">
              <w:rPr>
                <w:rFonts w:ascii="Calibri" w:hAnsi="Calibri"/>
                <w:sz w:val="24"/>
              </w:rPr>
              <w:t>the United Kingdom legally departed the European Union on 1 February 2020.</w:t>
            </w:r>
          </w:p>
        </w:tc>
      </w:tr>
      <w:tr w:rsidR="00A800D8" w:rsidRPr="008D5CFD" w14:paraId="4E101FCE" w14:textId="1B84DA58" w:rsidTr="00A800D8">
        <w:tc>
          <w:tcPr>
            <w:tcW w:w="3005" w:type="dxa"/>
          </w:tcPr>
          <w:p w14:paraId="297469E8" w14:textId="636F0EB0" w:rsidR="00A800D8" w:rsidRPr="008D5CFD" w:rsidRDefault="00A800D8" w:rsidP="00BF1F5E">
            <w:pPr>
              <w:rPr>
                <w:rFonts w:ascii="Calibri" w:hAnsi="Calibri"/>
                <w:sz w:val="24"/>
              </w:rPr>
            </w:pPr>
            <w:r w:rsidRPr="008D5CFD">
              <w:rPr>
                <w:rFonts w:ascii="Calibri" w:hAnsi="Calibri"/>
                <w:sz w:val="24"/>
              </w:rPr>
              <w:lastRenderedPageBreak/>
              <w:t xml:space="preserve">Local Government Act 2019  </w:t>
            </w:r>
          </w:p>
        </w:tc>
        <w:tc>
          <w:tcPr>
            <w:tcW w:w="3005" w:type="dxa"/>
          </w:tcPr>
          <w:p w14:paraId="720FC165" w14:textId="0238B3C0" w:rsidR="00A800D8" w:rsidRPr="008D5CFD" w:rsidRDefault="00A800D8" w:rsidP="00BF1F5E">
            <w:pPr>
              <w:rPr>
                <w:rFonts w:ascii="Calibri" w:hAnsi="Calibri"/>
                <w:sz w:val="24"/>
              </w:rPr>
            </w:pPr>
            <w:r w:rsidRPr="008D5CFD">
              <w:rPr>
                <w:rFonts w:ascii="Calibri" w:hAnsi="Calibri"/>
                <w:sz w:val="24"/>
              </w:rPr>
              <w:t>Sections 21(6) to (10)</w:t>
            </w:r>
          </w:p>
        </w:tc>
        <w:tc>
          <w:tcPr>
            <w:tcW w:w="3341" w:type="dxa"/>
          </w:tcPr>
          <w:p w14:paraId="617B30E8" w14:textId="3DE6D658" w:rsidR="00A800D8" w:rsidRPr="008D5CFD" w:rsidRDefault="00A800D8" w:rsidP="00BF1F5E">
            <w:pPr>
              <w:rPr>
                <w:rFonts w:ascii="Calibri" w:hAnsi="Calibri"/>
                <w:sz w:val="24"/>
              </w:rPr>
            </w:pPr>
            <w:r w:rsidRPr="008D5CFD">
              <w:rPr>
                <w:rFonts w:ascii="Calibri" w:hAnsi="Calibri"/>
                <w:sz w:val="24"/>
              </w:rPr>
              <w:t>As (a) the Cork City boundary alteration is complete, (b) post end 2020, there is no need for the Chief Executives to submit a monthly progress report, the Sections are moot.</w:t>
            </w:r>
          </w:p>
        </w:tc>
      </w:tr>
      <w:tr w:rsidR="00A800D8" w:rsidRPr="008D5CFD" w14:paraId="23458C9D" w14:textId="0D952EB8" w:rsidTr="00A800D8">
        <w:tc>
          <w:tcPr>
            <w:tcW w:w="3005" w:type="dxa"/>
          </w:tcPr>
          <w:p w14:paraId="766777CF" w14:textId="35EB8FCA" w:rsidR="00A800D8" w:rsidRPr="008D5CFD" w:rsidRDefault="00A800D8" w:rsidP="00A26E3C">
            <w:pPr>
              <w:rPr>
                <w:rFonts w:ascii="Calibri" w:hAnsi="Calibri"/>
                <w:sz w:val="24"/>
              </w:rPr>
            </w:pPr>
            <w:r w:rsidRPr="008D5CFD">
              <w:rPr>
                <w:rFonts w:ascii="Calibri" w:hAnsi="Calibri"/>
                <w:sz w:val="24"/>
              </w:rPr>
              <w:t>Local Government Rates and Other Matters Act 2019</w:t>
            </w:r>
          </w:p>
        </w:tc>
        <w:tc>
          <w:tcPr>
            <w:tcW w:w="3005" w:type="dxa"/>
          </w:tcPr>
          <w:p w14:paraId="7A6C4737" w14:textId="5981D6C0" w:rsidR="00A800D8" w:rsidRPr="008D5CFD" w:rsidRDefault="00A800D8" w:rsidP="00BF1F5E">
            <w:pPr>
              <w:rPr>
                <w:rFonts w:ascii="Calibri" w:hAnsi="Calibri"/>
                <w:sz w:val="24"/>
              </w:rPr>
            </w:pPr>
            <w:r w:rsidRPr="008D5CFD">
              <w:rPr>
                <w:rFonts w:ascii="Calibri" w:hAnsi="Calibri"/>
                <w:sz w:val="24"/>
              </w:rPr>
              <w:t>All provisions except sections 23, 24, 25 and 28; paragraphs (b), (c) and (d) of section 21; and paragraph (d) of section 26; are not yet commenced.</w:t>
            </w:r>
          </w:p>
        </w:tc>
        <w:tc>
          <w:tcPr>
            <w:tcW w:w="3341" w:type="dxa"/>
          </w:tcPr>
          <w:p w14:paraId="7ABE3335" w14:textId="77777777" w:rsidR="00A800D8" w:rsidRPr="008D5CFD" w:rsidRDefault="00A800D8" w:rsidP="00A94D34">
            <w:pPr>
              <w:rPr>
                <w:rFonts w:ascii="Calibri" w:hAnsi="Calibri" w:cs="Calibri"/>
                <w:sz w:val="24"/>
              </w:rPr>
            </w:pPr>
            <w:r w:rsidRPr="008D5CFD">
              <w:rPr>
                <w:rFonts w:ascii="Calibri" w:hAnsi="Calibri" w:cs="Calibri"/>
                <w:sz w:val="24"/>
              </w:rPr>
              <w:t xml:space="preserve">It was intended that most of the provisions of this Act would be operational for the 2021 local authority budget cycle, in November 2020. </w:t>
            </w:r>
          </w:p>
          <w:p w14:paraId="6DBF6293" w14:textId="77777777" w:rsidR="00A800D8" w:rsidRPr="008D5CFD" w:rsidRDefault="00A800D8" w:rsidP="00A94D34">
            <w:pPr>
              <w:rPr>
                <w:rFonts w:ascii="Calibri" w:hAnsi="Calibri" w:cs="Calibri"/>
                <w:sz w:val="24"/>
              </w:rPr>
            </w:pPr>
          </w:p>
          <w:p w14:paraId="26F51579" w14:textId="6C831728" w:rsidR="00A800D8" w:rsidRPr="008D5CFD" w:rsidRDefault="00A800D8" w:rsidP="005A1338">
            <w:pPr>
              <w:rPr>
                <w:rFonts w:ascii="Calibri" w:hAnsi="Calibri"/>
                <w:sz w:val="24"/>
              </w:rPr>
            </w:pPr>
            <w:r w:rsidRPr="008D5CFD">
              <w:rPr>
                <w:rFonts w:ascii="Calibri" w:hAnsi="Calibri" w:cs="Calibri"/>
                <w:sz w:val="24"/>
              </w:rPr>
              <w:t xml:space="preserve">However, progress has been delayed due to the impact of the COVID crisis and ongoing work on the government funded rates waiver. Plans to amend and commence the legislation and introduce </w:t>
            </w:r>
            <w:r w:rsidR="005A1338">
              <w:rPr>
                <w:rFonts w:ascii="Calibri" w:hAnsi="Calibri" w:cs="Calibri"/>
                <w:sz w:val="24"/>
              </w:rPr>
              <w:t>supporting</w:t>
            </w:r>
            <w:r w:rsidR="005A1338" w:rsidRPr="008D5CFD">
              <w:rPr>
                <w:rFonts w:ascii="Calibri" w:hAnsi="Calibri" w:cs="Calibri"/>
                <w:sz w:val="24"/>
              </w:rPr>
              <w:t xml:space="preserve"> </w:t>
            </w:r>
            <w:r w:rsidRPr="008D5CFD">
              <w:rPr>
                <w:rFonts w:ascii="Calibri" w:hAnsi="Calibri" w:cs="Calibri"/>
                <w:sz w:val="24"/>
              </w:rPr>
              <w:t>regulations are temporarily delayed, with the revised aim of commencing the Act in 2021 and signature of prescribed regulations in 2022.</w:t>
            </w:r>
          </w:p>
        </w:tc>
      </w:tr>
      <w:tr w:rsidR="00A800D8" w:rsidRPr="008D5CFD" w14:paraId="64939A79" w14:textId="014A18D6" w:rsidTr="00A800D8">
        <w:tc>
          <w:tcPr>
            <w:tcW w:w="3005" w:type="dxa"/>
          </w:tcPr>
          <w:p w14:paraId="778A0614" w14:textId="3E52DD44" w:rsidR="00A800D8" w:rsidRPr="008D5CFD" w:rsidRDefault="00A800D8" w:rsidP="00BF1F5E">
            <w:pPr>
              <w:rPr>
                <w:rFonts w:ascii="Calibri" w:hAnsi="Calibri"/>
                <w:sz w:val="24"/>
              </w:rPr>
            </w:pPr>
            <w:r w:rsidRPr="008D5CFD">
              <w:rPr>
                <w:rFonts w:ascii="Calibri" w:hAnsi="Calibri" w:cs="Arial"/>
                <w:sz w:val="24"/>
              </w:rPr>
              <w:t>Local Government Act 2001</w:t>
            </w:r>
          </w:p>
        </w:tc>
        <w:tc>
          <w:tcPr>
            <w:tcW w:w="3005" w:type="dxa"/>
          </w:tcPr>
          <w:p w14:paraId="684A981C" w14:textId="77777777" w:rsidR="00A800D8" w:rsidRPr="008D5CFD" w:rsidRDefault="00A800D8" w:rsidP="00DA03EC">
            <w:pPr>
              <w:rPr>
                <w:rFonts w:ascii="Calibri" w:hAnsi="Calibri" w:cs="Arial"/>
                <w:sz w:val="24"/>
              </w:rPr>
            </w:pPr>
            <w:r w:rsidRPr="008D5CFD">
              <w:rPr>
                <w:rFonts w:ascii="Calibri" w:hAnsi="Calibri" w:cs="Arial"/>
                <w:sz w:val="24"/>
              </w:rPr>
              <w:t>Section 22</w:t>
            </w:r>
          </w:p>
          <w:p w14:paraId="10BA5566" w14:textId="77777777" w:rsidR="00A800D8" w:rsidRPr="008D5CFD" w:rsidRDefault="00A800D8" w:rsidP="00DA03EC">
            <w:pPr>
              <w:rPr>
                <w:rFonts w:ascii="Calibri" w:hAnsi="Calibri" w:cs="Arial"/>
                <w:sz w:val="24"/>
              </w:rPr>
            </w:pPr>
          </w:p>
          <w:p w14:paraId="576ADAC2" w14:textId="77777777" w:rsidR="00A800D8" w:rsidRPr="008D5CFD" w:rsidRDefault="00A800D8" w:rsidP="00DA03EC">
            <w:pPr>
              <w:rPr>
                <w:rFonts w:ascii="Calibri" w:hAnsi="Calibri" w:cs="Arial"/>
                <w:sz w:val="24"/>
              </w:rPr>
            </w:pPr>
          </w:p>
          <w:p w14:paraId="395720DD" w14:textId="77777777" w:rsidR="00A800D8" w:rsidRPr="008D5CFD" w:rsidRDefault="00A800D8" w:rsidP="00DA03EC">
            <w:pPr>
              <w:rPr>
                <w:rFonts w:ascii="Calibri" w:hAnsi="Calibri" w:cs="Arial"/>
                <w:sz w:val="24"/>
              </w:rPr>
            </w:pPr>
          </w:p>
          <w:p w14:paraId="5E9496B3" w14:textId="77777777" w:rsidR="00A800D8" w:rsidRPr="008D5CFD" w:rsidRDefault="00A800D8" w:rsidP="00DA03EC">
            <w:pPr>
              <w:rPr>
                <w:rFonts w:ascii="Calibri" w:hAnsi="Calibri" w:cs="Arial"/>
                <w:sz w:val="24"/>
              </w:rPr>
            </w:pPr>
          </w:p>
          <w:p w14:paraId="056637C2" w14:textId="77777777" w:rsidR="00A800D8" w:rsidRPr="008D5CFD" w:rsidRDefault="00A800D8" w:rsidP="00DA03EC">
            <w:pPr>
              <w:rPr>
                <w:rFonts w:ascii="Calibri" w:hAnsi="Calibri" w:cs="Arial"/>
                <w:sz w:val="24"/>
              </w:rPr>
            </w:pPr>
          </w:p>
          <w:p w14:paraId="3D75C214" w14:textId="77777777" w:rsidR="00A800D8" w:rsidRPr="008D5CFD" w:rsidRDefault="00A800D8" w:rsidP="00DA03EC">
            <w:pPr>
              <w:rPr>
                <w:rFonts w:ascii="Calibri" w:hAnsi="Calibri" w:cs="Arial"/>
                <w:sz w:val="24"/>
              </w:rPr>
            </w:pPr>
          </w:p>
          <w:p w14:paraId="0A05A071" w14:textId="1760063B" w:rsidR="00A800D8" w:rsidRDefault="00A800D8" w:rsidP="00DA03EC">
            <w:pPr>
              <w:rPr>
                <w:rFonts w:ascii="Calibri" w:hAnsi="Calibri" w:cs="Arial"/>
                <w:sz w:val="24"/>
              </w:rPr>
            </w:pPr>
          </w:p>
          <w:p w14:paraId="59DBCD5D" w14:textId="77777777" w:rsidR="00A800D8" w:rsidRPr="008D5CFD" w:rsidRDefault="00A800D8" w:rsidP="00DA03EC">
            <w:pPr>
              <w:rPr>
                <w:rFonts w:ascii="Calibri" w:hAnsi="Calibri" w:cs="Arial"/>
                <w:sz w:val="24"/>
              </w:rPr>
            </w:pPr>
          </w:p>
          <w:p w14:paraId="14E8B27F" w14:textId="77777777" w:rsidR="00A800D8" w:rsidRPr="008D5CFD" w:rsidRDefault="00A800D8" w:rsidP="00DA03EC">
            <w:pPr>
              <w:rPr>
                <w:rFonts w:ascii="Calibri" w:hAnsi="Calibri" w:cs="Arial"/>
                <w:sz w:val="24"/>
              </w:rPr>
            </w:pPr>
            <w:r w:rsidRPr="008D5CFD">
              <w:rPr>
                <w:rFonts w:ascii="Calibri" w:hAnsi="Calibri" w:cs="Arial"/>
                <w:sz w:val="24"/>
              </w:rPr>
              <w:t>Section 212-214</w:t>
            </w:r>
          </w:p>
          <w:p w14:paraId="3E146264" w14:textId="77777777" w:rsidR="00A800D8" w:rsidRPr="008D5CFD" w:rsidRDefault="00A800D8" w:rsidP="00DA03EC">
            <w:pPr>
              <w:rPr>
                <w:rFonts w:ascii="Calibri" w:hAnsi="Calibri" w:cs="Arial"/>
                <w:sz w:val="24"/>
              </w:rPr>
            </w:pPr>
          </w:p>
          <w:p w14:paraId="2F0F6F45" w14:textId="77777777" w:rsidR="00A800D8" w:rsidRPr="008D5CFD" w:rsidRDefault="00A800D8" w:rsidP="00DA03EC">
            <w:pPr>
              <w:rPr>
                <w:rFonts w:ascii="Calibri" w:hAnsi="Calibri" w:cs="Arial"/>
                <w:sz w:val="24"/>
              </w:rPr>
            </w:pPr>
          </w:p>
          <w:p w14:paraId="7E2C74D7" w14:textId="77777777" w:rsidR="00A800D8" w:rsidRPr="008D5CFD" w:rsidRDefault="00A800D8" w:rsidP="00DA03EC">
            <w:pPr>
              <w:rPr>
                <w:rFonts w:ascii="Calibri" w:hAnsi="Calibri" w:cs="Arial"/>
                <w:sz w:val="24"/>
              </w:rPr>
            </w:pPr>
          </w:p>
          <w:p w14:paraId="05181CC3" w14:textId="0A8B66F4" w:rsidR="00A800D8" w:rsidRPr="008D5CFD" w:rsidRDefault="00A800D8" w:rsidP="00DA03EC">
            <w:pPr>
              <w:rPr>
                <w:rFonts w:ascii="Calibri" w:hAnsi="Calibri"/>
                <w:sz w:val="24"/>
              </w:rPr>
            </w:pPr>
            <w:r w:rsidRPr="008D5CFD">
              <w:rPr>
                <w:rFonts w:ascii="Calibri" w:hAnsi="Calibri" w:cs="Arial"/>
                <w:sz w:val="24"/>
              </w:rPr>
              <w:t>Section 223</w:t>
            </w:r>
          </w:p>
        </w:tc>
        <w:tc>
          <w:tcPr>
            <w:tcW w:w="3341" w:type="dxa"/>
          </w:tcPr>
          <w:p w14:paraId="007B6DE3" w14:textId="77777777" w:rsidR="00A800D8" w:rsidRPr="008D5CFD" w:rsidRDefault="00A800D8" w:rsidP="00DA03EC">
            <w:pPr>
              <w:rPr>
                <w:rFonts w:ascii="Calibri" w:hAnsi="Calibri" w:cs="Arial"/>
                <w:sz w:val="24"/>
              </w:rPr>
            </w:pPr>
            <w:r w:rsidRPr="008D5CFD">
              <w:rPr>
                <w:rFonts w:ascii="Calibri" w:hAnsi="Calibri" w:cs="Arial"/>
                <w:sz w:val="24"/>
              </w:rPr>
              <w:t>Commencement of section conditional on the establishment of a commission to make recommendations on a number of local government issues.</w:t>
            </w:r>
          </w:p>
          <w:p w14:paraId="1A335B36" w14:textId="77777777" w:rsidR="00A800D8" w:rsidRPr="008D5CFD" w:rsidRDefault="00A800D8" w:rsidP="00DA03EC">
            <w:pPr>
              <w:rPr>
                <w:rFonts w:ascii="Calibri" w:hAnsi="Calibri" w:cs="Arial"/>
                <w:sz w:val="24"/>
              </w:rPr>
            </w:pPr>
          </w:p>
          <w:p w14:paraId="52AA0A0B" w14:textId="77777777" w:rsidR="00A800D8" w:rsidRPr="008D5CFD" w:rsidRDefault="00A800D8" w:rsidP="00DA03EC">
            <w:pPr>
              <w:rPr>
                <w:rFonts w:ascii="Calibri" w:hAnsi="Calibri" w:cs="Arial"/>
                <w:sz w:val="24"/>
              </w:rPr>
            </w:pPr>
          </w:p>
          <w:p w14:paraId="605026A1" w14:textId="77777777" w:rsidR="00A800D8" w:rsidRPr="008D5CFD" w:rsidRDefault="00A800D8" w:rsidP="00DA03EC">
            <w:pPr>
              <w:rPr>
                <w:rFonts w:ascii="Calibri" w:hAnsi="Calibri" w:cs="Arial"/>
                <w:sz w:val="24"/>
              </w:rPr>
            </w:pPr>
            <w:r w:rsidRPr="008D5CFD">
              <w:rPr>
                <w:rFonts w:ascii="Calibri" w:hAnsi="Calibri" w:cs="Arial"/>
                <w:sz w:val="24"/>
              </w:rPr>
              <w:t>Implications for existing legislation across a number of legislative codes.</w:t>
            </w:r>
          </w:p>
          <w:p w14:paraId="7DE6D822" w14:textId="77777777" w:rsidR="00A800D8" w:rsidRPr="008D5CFD" w:rsidRDefault="00A800D8" w:rsidP="00DA03EC">
            <w:pPr>
              <w:rPr>
                <w:rFonts w:ascii="Calibri" w:hAnsi="Calibri" w:cs="Arial"/>
                <w:sz w:val="24"/>
              </w:rPr>
            </w:pPr>
          </w:p>
          <w:p w14:paraId="6702C5C2" w14:textId="77777777" w:rsidR="00A5322E" w:rsidRDefault="00A5322E" w:rsidP="00DA03EC">
            <w:pPr>
              <w:rPr>
                <w:rFonts w:ascii="Calibri" w:hAnsi="Calibri" w:cs="Arial"/>
                <w:sz w:val="24"/>
              </w:rPr>
            </w:pPr>
          </w:p>
          <w:p w14:paraId="1BFE94E7" w14:textId="0A8D3A50" w:rsidR="00A800D8" w:rsidRPr="008D5CFD" w:rsidRDefault="00A800D8" w:rsidP="00DA03EC">
            <w:pPr>
              <w:rPr>
                <w:rFonts w:ascii="Calibri" w:hAnsi="Calibri" w:cs="Arial"/>
                <w:sz w:val="24"/>
              </w:rPr>
            </w:pPr>
            <w:r w:rsidRPr="008D5CFD">
              <w:rPr>
                <w:rFonts w:ascii="Calibri" w:hAnsi="Calibri" w:cs="Arial"/>
                <w:sz w:val="24"/>
              </w:rPr>
              <w:t>Existing provisions need to be repealed before commencement of this section can proceed.</w:t>
            </w:r>
          </w:p>
          <w:p w14:paraId="0914231C" w14:textId="77777777" w:rsidR="00A800D8" w:rsidRPr="008D5CFD" w:rsidRDefault="00A800D8" w:rsidP="00A94D34">
            <w:pPr>
              <w:rPr>
                <w:rFonts w:ascii="Calibri" w:hAnsi="Calibri" w:cs="Calibri"/>
                <w:sz w:val="24"/>
              </w:rPr>
            </w:pPr>
          </w:p>
        </w:tc>
      </w:tr>
      <w:tr w:rsidR="00A800D8" w:rsidRPr="008D5CFD" w14:paraId="23167A0E" w14:textId="6A05C268" w:rsidTr="00A800D8">
        <w:tc>
          <w:tcPr>
            <w:tcW w:w="3005" w:type="dxa"/>
          </w:tcPr>
          <w:p w14:paraId="29A09833" w14:textId="24AA61B9" w:rsidR="00A800D8" w:rsidRPr="008D5CFD" w:rsidRDefault="00A800D8" w:rsidP="00BF1F5E">
            <w:pPr>
              <w:rPr>
                <w:rFonts w:ascii="Calibri" w:hAnsi="Calibri"/>
                <w:sz w:val="24"/>
              </w:rPr>
            </w:pPr>
            <w:r w:rsidRPr="008D5CFD">
              <w:rPr>
                <w:rFonts w:ascii="Calibri" w:hAnsi="Calibri" w:cs="Arial"/>
                <w:sz w:val="24"/>
              </w:rPr>
              <w:lastRenderedPageBreak/>
              <w:t>Licensing of Indoor Events Act 2003</w:t>
            </w:r>
          </w:p>
        </w:tc>
        <w:tc>
          <w:tcPr>
            <w:tcW w:w="3005" w:type="dxa"/>
          </w:tcPr>
          <w:p w14:paraId="10FB9746" w14:textId="4D464849" w:rsidR="00A800D8" w:rsidRPr="008D5CFD" w:rsidRDefault="00A800D8" w:rsidP="00BF1F5E">
            <w:pPr>
              <w:rPr>
                <w:rFonts w:ascii="Calibri" w:hAnsi="Calibri"/>
                <w:sz w:val="24"/>
              </w:rPr>
            </w:pPr>
            <w:r w:rsidRPr="008D5CFD">
              <w:rPr>
                <w:rFonts w:ascii="Calibri" w:hAnsi="Calibri" w:cs="Arial"/>
                <w:sz w:val="24"/>
              </w:rPr>
              <w:t>Parts I and II of the Act</w:t>
            </w:r>
          </w:p>
        </w:tc>
        <w:tc>
          <w:tcPr>
            <w:tcW w:w="3341" w:type="dxa"/>
          </w:tcPr>
          <w:p w14:paraId="1EE71B7E" w14:textId="4B882D24" w:rsidR="00A800D8" w:rsidRPr="008D5CFD" w:rsidRDefault="00A800D8" w:rsidP="002A4BCF">
            <w:pPr>
              <w:rPr>
                <w:rFonts w:ascii="Calibri" w:hAnsi="Calibri" w:cs="Calibri"/>
                <w:sz w:val="24"/>
              </w:rPr>
            </w:pPr>
            <w:r w:rsidRPr="008D5CFD">
              <w:rPr>
                <w:rFonts w:ascii="Calibri" w:hAnsi="Calibri" w:cs="Arial"/>
                <w:sz w:val="24"/>
              </w:rPr>
              <w:t>Consultation with stakeholders in relation to drafting secondary regulations to be made under the legislation highlighted issues of practicality in attempting to license individual events, as distinct from licensing premises. A view was taken that the intended regulations were unworkable and duplicated existing licensing provisions for premises under other legislation. Parts I and II of the Act were never commenced and it is still not seen as practicable to make regulations of the type envisaged</w:t>
            </w:r>
            <w:r>
              <w:rPr>
                <w:rFonts w:ascii="Calibri" w:hAnsi="Calibri" w:cs="Arial"/>
                <w:sz w:val="24"/>
              </w:rPr>
              <w:t>.</w:t>
            </w:r>
            <w:r w:rsidRPr="008D5CFD">
              <w:rPr>
                <w:rFonts w:ascii="Calibri" w:hAnsi="Calibri" w:cs="Arial"/>
                <w:sz w:val="24"/>
              </w:rPr>
              <w:t xml:space="preserve"> </w:t>
            </w:r>
            <w:r>
              <w:rPr>
                <w:rFonts w:ascii="Calibri" w:hAnsi="Calibri" w:cs="Arial"/>
                <w:sz w:val="24"/>
              </w:rPr>
              <w:t>T</w:t>
            </w:r>
            <w:r w:rsidRPr="008D5CFD">
              <w:rPr>
                <w:rFonts w:ascii="Calibri" w:hAnsi="Calibri" w:cs="Arial"/>
                <w:sz w:val="24"/>
              </w:rPr>
              <w:t>here are no plans therefore to make a commencement order for this legislation.</w:t>
            </w:r>
          </w:p>
        </w:tc>
      </w:tr>
      <w:tr w:rsidR="00A800D8" w:rsidRPr="008D5CFD" w14:paraId="0EBF705E" w14:textId="5B23952E" w:rsidTr="00A800D8">
        <w:tc>
          <w:tcPr>
            <w:tcW w:w="3005" w:type="dxa"/>
          </w:tcPr>
          <w:p w14:paraId="484D3F84" w14:textId="19D26DB0" w:rsidR="00A800D8" w:rsidRPr="008D5CFD" w:rsidRDefault="00A800D8" w:rsidP="00BF1F5E">
            <w:pPr>
              <w:rPr>
                <w:rFonts w:ascii="Calibri" w:hAnsi="Calibri"/>
                <w:sz w:val="24"/>
              </w:rPr>
            </w:pPr>
            <w:r w:rsidRPr="008D5CFD">
              <w:rPr>
                <w:rFonts w:ascii="Calibri" w:hAnsi="Calibri" w:cs="Arial"/>
                <w:sz w:val="24"/>
              </w:rPr>
              <w:t>Residential Tenancies (Amendment) Act 2015</w:t>
            </w:r>
          </w:p>
        </w:tc>
        <w:tc>
          <w:tcPr>
            <w:tcW w:w="3005" w:type="dxa"/>
          </w:tcPr>
          <w:p w14:paraId="76C4FB68" w14:textId="77777777" w:rsidR="00A800D8" w:rsidRPr="008D5CFD" w:rsidRDefault="00A800D8" w:rsidP="00506A22">
            <w:pPr>
              <w:rPr>
                <w:rFonts w:ascii="Calibri" w:hAnsi="Calibri" w:cs="Arial"/>
                <w:sz w:val="24"/>
              </w:rPr>
            </w:pPr>
            <w:r w:rsidRPr="008D5CFD">
              <w:rPr>
                <w:rFonts w:ascii="Calibri" w:hAnsi="Calibri" w:cs="Arial"/>
                <w:sz w:val="24"/>
              </w:rPr>
              <w:t xml:space="preserve">Paragraph (g) of section 16; paragraphs (d) and (e) of section 17; and </w:t>
            </w:r>
          </w:p>
          <w:p w14:paraId="7DEDAF07" w14:textId="77777777" w:rsidR="00A800D8" w:rsidRPr="008D5CFD" w:rsidRDefault="00A800D8" w:rsidP="00506A22">
            <w:pPr>
              <w:rPr>
                <w:rFonts w:ascii="Calibri" w:hAnsi="Calibri" w:cs="Arial"/>
                <w:sz w:val="24"/>
              </w:rPr>
            </w:pPr>
            <w:proofErr w:type="gramStart"/>
            <w:r w:rsidRPr="008D5CFD">
              <w:rPr>
                <w:rFonts w:ascii="Calibri" w:hAnsi="Calibri" w:cs="Arial"/>
                <w:sz w:val="24"/>
              </w:rPr>
              <w:t>paragraphs</w:t>
            </w:r>
            <w:proofErr w:type="gramEnd"/>
            <w:r w:rsidRPr="008D5CFD">
              <w:rPr>
                <w:rFonts w:ascii="Calibri" w:hAnsi="Calibri" w:cs="Arial"/>
                <w:sz w:val="24"/>
              </w:rPr>
              <w:t xml:space="preserve"> (b) and (c) and, in so far as it relates to the insertion of subsection (8) into section 139 of the Residential Tenancies Act 2004, paragraph (d) of section 63.</w:t>
            </w:r>
          </w:p>
          <w:p w14:paraId="22608F43" w14:textId="77777777" w:rsidR="00A800D8" w:rsidRPr="008D5CFD" w:rsidRDefault="00A800D8" w:rsidP="00506A22">
            <w:pPr>
              <w:rPr>
                <w:rFonts w:ascii="Calibri" w:hAnsi="Calibri" w:cs="Arial"/>
                <w:sz w:val="24"/>
              </w:rPr>
            </w:pPr>
          </w:p>
          <w:p w14:paraId="6D64D095" w14:textId="77777777" w:rsidR="00A800D8" w:rsidRPr="008D5CFD" w:rsidRDefault="00A800D8" w:rsidP="00506A22">
            <w:pPr>
              <w:rPr>
                <w:rFonts w:ascii="Calibri" w:hAnsi="Calibri" w:cs="Arial"/>
                <w:sz w:val="24"/>
              </w:rPr>
            </w:pPr>
          </w:p>
          <w:p w14:paraId="4FA2DCC3" w14:textId="77777777" w:rsidR="00A800D8" w:rsidRPr="008D5CFD" w:rsidRDefault="00A800D8" w:rsidP="00506A22">
            <w:pPr>
              <w:rPr>
                <w:rFonts w:ascii="Calibri" w:hAnsi="Calibri" w:cs="Arial"/>
                <w:sz w:val="24"/>
              </w:rPr>
            </w:pPr>
            <w:r w:rsidRPr="008D5CFD">
              <w:rPr>
                <w:rFonts w:ascii="Calibri" w:hAnsi="Calibri" w:cs="Arial"/>
                <w:sz w:val="24"/>
              </w:rPr>
              <w:t>Section 16 (d);</w:t>
            </w:r>
          </w:p>
          <w:p w14:paraId="35FC0FC3" w14:textId="77777777" w:rsidR="00A800D8" w:rsidRPr="008D5CFD" w:rsidRDefault="00A800D8" w:rsidP="00506A22">
            <w:pPr>
              <w:rPr>
                <w:rFonts w:ascii="Calibri" w:hAnsi="Calibri" w:cs="Arial"/>
                <w:sz w:val="24"/>
              </w:rPr>
            </w:pPr>
            <w:r w:rsidRPr="008D5CFD">
              <w:rPr>
                <w:rFonts w:ascii="Calibri" w:hAnsi="Calibri" w:cs="Arial"/>
                <w:sz w:val="24"/>
              </w:rPr>
              <w:t>Sections 22-24; Section 37;</w:t>
            </w:r>
          </w:p>
          <w:p w14:paraId="21F58D66" w14:textId="77777777" w:rsidR="00A800D8" w:rsidRPr="008D5CFD" w:rsidRDefault="00A800D8" w:rsidP="00506A22">
            <w:pPr>
              <w:rPr>
                <w:rFonts w:ascii="Calibri" w:hAnsi="Calibri" w:cs="Arial"/>
                <w:sz w:val="24"/>
              </w:rPr>
            </w:pPr>
            <w:r w:rsidRPr="008D5CFD">
              <w:rPr>
                <w:rFonts w:ascii="Calibri" w:hAnsi="Calibri" w:cs="Arial"/>
                <w:sz w:val="24"/>
              </w:rPr>
              <w:t>Section 57(1)(b); Section 59;</w:t>
            </w:r>
          </w:p>
          <w:p w14:paraId="643E488F" w14:textId="77777777" w:rsidR="00A800D8" w:rsidRPr="008D5CFD" w:rsidRDefault="00A800D8" w:rsidP="00506A22">
            <w:pPr>
              <w:rPr>
                <w:rFonts w:ascii="Calibri" w:hAnsi="Calibri" w:cs="Arial"/>
                <w:sz w:val="24"/>
              </w:rPr>
            </w:pPr>
            <w:r w:rsidRPr="008D5CFD">
              <w:rPr>
                <w:rFonts w:ascii="Calibri" w:hAnsi="Calibri" w:cs="Arial"/>
                <w:sz w:val="24"/>
              </w:rPr>
              <w:t>Sections 60(a), (b)[(4)(c)], (c) and (e)[(7)];</w:t>
            </w:r>
          </w:p>
          <w:p w14:paraId="4472933B" w14:textId="77777777" w:rsidR="00A800D8" w:rsidRPr="008D5CFD" w:rsidRDefault="00A800D8" w:rsidP="00506A22">
            <w:pPr>
              <w:rPr>
                <w:rFonts w:ascii="Calibri" w:hAnsi="Calibri" w:cs="Arial"/>
                <w:sz w:val="24"/>
              </w:rPr>
            </w:pPr>
            <w:r w:rsidRPr="008D5CFD">
              <w:rPr>
                <w:rFonts w:ascii="Calibri" w:hAnsi="Calibri" w:cs="Arial"/>
                <w:sz w:val="24"/>
              </w:rPr>
              <w:t>Section 61; Section 62(b)(iii);</w:t>
            </w:r>
          </w:p>
          <w:p w14:paraId="7A870CE1" w14:textId="77777777" w:rsidR="00A800D8" w:rsidRPr="008D5CFD" w:rsidRDefault="00A800D8" w:rsidP="00506A22">
            <w:pPr>
              <w:rPr>
                <w:rFonts w:ascii="Calibri" w:hAnsi="Calibri" w:cs="Arial"/>
                <w:sz w:val="24"/>
              </w:rPr>
            </w:pPr>
            <w:r w:rsidRPr="008D5CFD">
              <w:rPr>
                <w:rFonts w:ascii="Calibri" w:hAnsi="Calibri" w:cs="Arial"/>
                <w:sz w:val="24"/>
              </w:rPr>
              <w:t>Sections 63(d)[(5),(6)]; Sections 64-65;</w:t>
            </w:r>
          </w:p>
          <w:p w14:paraId="2A061AC3" w14:textId="77777777" w:rsidR="00A800D8" w:rsidRPr="008D5CFD" w:rsidRDefault="00A800D8" w:rsidP="00506A22">
            <w:pPr>
              <w:rPr>
                <w:rFonts w:ascii="Calibri" w:hAnsi="Calibri" w:cs="Arial"/>
                <w:sz w:val="24"/>
              </w:rPr>
            </w:pPr>
            <w:r w:rsidRPr="008D5CFD">
              <w:rPr>
                <w:rFonts w:ascii="Calibri" w:hAnsi="Calibri" w:cs="Arial"/>
                <w:sz w:val="24"/>
              </w:rPr>
              <w:t>Sections 70-72</w:t>
            </w:r>
          </w:p>
          <w:p w14:paraId="473D6A9B" w14:textId="77777777" w:rsidR="00A800D8" w:rsidRPr="008D5CFD" w:rsidRDefault="00A800D8" w:rsidP="00506A22">
            <w:pPr>
              <w:rPr>
                <w:rFonts w:ascii="Calibri" w:hAnsi="Calibri" w:cs="Arial"/>
                <w:sz w:val="24"/>
              </w:rPr>
            </w:pPr>
          </w:p>
          <w:p w14:paraId="1A2F85E4" w14:textId="77777777" w:rsidR="00A800D8" w:rsidRPr="008D5CFD" w:rsidRDefault="00A800D8" w:rsidP="00506A22">
            <w:pPr>
              <w:rPr>
                <w:rFonts w:ascii="Calibri" w:hAnsi="Calibri" w:cs="Arial"/>
                <w:sz w:val="24"/>
              </w:rPr>
            </w:pPr>
          </w:p>
          <w:p w14:paraId="63FA3BA8" w14:textId="77777777" w:rsidR="00A800D8" w:rsidRDefault="00A800D8" w:rsidP="00506A22">
            <w:pPr>
              <w:rPr>
                <w:rFonts w:ascii="Calibri" w:hAnsi="Calibri" w:cs="Arial"/>
                <w:sz w:val="24"/>
              </w:rPr>
            </w:pPr>
          </w:p>
          <w:p w14:paraId="2C303D8B" w14:textId="3E87349D" w:rsidR="00A800D8" w:rsidRPr="008D5CFD" w:rsidRDefault="00A800D8" w:rsidP="00506A22">
            <w:pPr>
              <w:rPr>
                <w:rFonts w:ascii="Calibri" w:hAnsi="Calibri" w:cs="Arial"/>
                <w:sz w:val="24"/>
              </w:rPr>
            </w:pPr>
            <w:r w:rsidRPr="008D5CFD">
              <w:rPr>
                <w:rFonts w:ascii="Calibri" w:hAnsi="Calibri" w:cs="Arial"/>
                <w:sz w:val="24"/>
              </w:rPr>
              <w:t>Sections 34-35;</w:t>
            </w:r>
          </w:p>
          <w:p w14:paraId="51B5BC6F" w14:textId="77777777" w:rsidR="00A800D8" w:rsidRPr="008D5CFD" w:rsidRDefault="00A800D8" w:rsidP="00506A22">
            <w:pPr>
              <w:rPr>
                <w:rFonts w:ascii="Calibri" w:hAnsi="Calibri" w:cs="Arial"/>
                <w:sz w:val="24"/>
              </w:rPr>
            </w:pPr>
            <w:r w:rsidRPr="008D5CFD">
              <w:rPr>
                <w:rFonts w:ascii="Calibri" w:hAnsi="Calibri" w:cs="Arial"/>
                <w:sz w:val="24"/>
              </w:rPr>
              <w:t>Section 38; Section 43;</w:t>
            </w:r>
          </w:p>
          <w:p w14:paraId="440ADE58" w14:textId="77777777" w:rsidR="00A800D8" w:rsidRPr="008D5CFD" w:rsidRDefault="00A800D8" w:rsidP="00506A22">
            <w:pPr>
              <w:rPr>
                <w:rFonts w:ascii="Calibri" w:hAnsi="Calibri" w:cs="Arial"/>
                <w:sz w:val="24"/>
              </w:rPr>
            </w:pPr>
            <w:r w:rsidRPr="008D5CFD">
              <w:rPr>
                <w:rFonts w:ascii="Calibri" w:hAnsi="Calibri" w:cs="Arial"/>
                <w:sz w:val="24"/>
              </w:rPr>
              <w:lastRenderedPageBreak/>
              <w:t>Section 46; Section 48; Section 51(1)(b); Section 52 (6); Section 53; Section 73;</w:t>
            </w:r>
          </w:p>
          <w:p w14:paraId="70009EA6" w14:textId="77777777" w:rsidR="00A800D8" w:rsidRPr="008D5CFD" w:rsidRDefault="00A800D8" w:rsidP="00506A22">
            <w:pPr>
              <w:rPr>
                <w:rFonts w:ascii="Calibri" w:hAnsi="Calibri" w:cs="Arial"/>
                <w:sz w:val="24"/>
              </w:rPr>
            </w:pPr>
          </w:p>
          <w:p w14:paraId="62D3277C" w14:textId="77777777" w:rsidR="00A800D8" w:rsidRPr="008D5CFD" w:rsidRDefault="00A800D8" w:rsidP="00506A22">
            <w:pPr>
              <w:rPr>
                <w:rFonts w:ascii="Calibri" w:hAnsi="Calibri" w:cs="Arial"/>
                <w:sz w:val="24"/>
              </w:rPr>
            </w:pPr>
          </w:p>
          <w:p w14:paraId="599EB083" w14:textId="77777777" w:rsidR="00A800D8" w:rsidRPr="008D5CFD" w:rsidRDefault="00A800D8" w:rsidP="00506A22">
            <w:pPr>
              <w:rPr>
                <w:rFonts w:ascii="Calibri" w:hAnsi="Calibri" w:cs="Arial"/>
                <w:sz w:val="24"/>
              </w:rPr>
            </w:pPr>
          </w:p>
          <w:p w14:paraId="37E68415" w14:textId="77777777" w:rsidR="00A800D8" w:rsidRPr="008D5CFD" w:rsidRDefault="00A800D8" w:rsidP="00506A22">
            <w:pPr>
              <w:rPr>
                <w:rFonts w:ascii="Calibri" w:hAnsi="Calibri" w:cs="Arial"/>
                <w:sz w:val="24"/>
              </w:rPr>
            </w:pPr>
          </w:p>
          <w:p w14:paraId="2165E216" w14:textId="77777777" w:rsidR="00A800D8" w:rsidRPr="008D5CFD" w:rsidRDefault="00A800D8" w:rsidP="00506A22">
            <w:pPr>
              <w:rPr>
                <w:rFonts w:ascii="Calibri" w:hAnsi="Calibri" w:cs="Arial"/>
                <w:sz w:val="24"/>
              </w:rPr>
            </w:pPr>
          </w:p>
          <w:p w14:paraId="5C9F3245" w14:textId="77777777" w:rsidR="00A800D8" w:rsidRPr="008D5CFD" w:rsidRDefault="00A800D8" w:rsidP="00506A22">
            <w:pPr>
              <w:rPr>
                <w:rFonts w:ascii="Calibri" w:hAnsi="Calibri" w:cs="Arial"/>
                <w:sz w:val="24"/>
              </w:rPr>
            </w:pPr>
          </w:p>
          <w:p w14:paraId="62585775" w14:textId="77777777" w:rsidR="00A800D8" w:rsidRPr="008D5CFD" w:rsidRDefault="00A800D8" w:rsidP="00506A22">
            <w:pPr>
              <w:rPr>
                <w:rFonts w:ascii="Calibri" w:hAnsi="Calibri" w:cs="Arial"/>
                <w:sz w:val="24"/>
              </w:rPr>
            </w:pPr>
          </w:p>
          <w:p w14:paraId="72200DE6" w14:textId="77777777" w:rsidR="00A800D8" w:rsidRPr="008D5CFD" w:rsidRDefault="00A800D8" w:rsidP="00506A22">
            <w:pPr>
              <w:rPr>
                <w:rFonts w:ascii="Calibri" w:hAnsi="Calibri" w:cs="Arial"/>
                <w:sz w:val="24"/>
              </w:rPr>
            </w:pPr>
          </w:p>
          <w:p w14:paraId="52C22E0F" w14:textId="77777777" w:rsidR="00A800D8" w:rsidRPr="008D5CFD" w:rsidRDefault="00A800D8" w:rsidP="00506A22">
            <w:pPr>
              <w:rPr>
                <w:rFonts w:ascii="Calibri" w:hAnsi="Calibri" w:cs="Arial"/>
                <w:sz w:val="24"/>
              </w:rPr>
            </w:pPr>
          </w:p>
          <w:p w14:paraId="7E6DD8E0" w14:textId="77777777" w:rsidR="00A800D8" w:rsidRPr="008D5CFD" w:rsidRDefault="00A800D8" w:rsidP="00506A22">
            <w:pPr>
              <w:rPr>
                <w:rFonts w:ascii="Calibri" w:hAnsi="Calibri" w:cs="Arial"/>
                <w:sz w:val="24"/>
              </w:rPr>
            </w:pPr>
          </w:p>
          <w:p w14:paraId="57260B00" w14:textId="77777777" w:rsidR="00A800D8" w:rsidRPr="008D5CFD" w:rsidRDefault="00A800D8" w:rsidP="00506A22">
            <w:pPr>
              <w:rPr>
                <w:rFonts w:ascii="Calibri" w:hAnsi="Calibri" w:cs="Arial"/>
                <w:sz w:val="24"/>
              </w:rPr>
            </w:pPr>
          </w:p>
          <w:p w14:paraId="6980E221" w14:textId="77777777" w:rsidR="00A800D8" w:rsidRPr="008D5CFD" w:rsidRDefault="00A800D8" w:rsidP="00506A22">
            <w:pPr>
              <w:rPr>
                <w:rFonts w:ascii="Calibri" w:hAnsi="Calibri" w:cs="Arial"/>
                <w:sz w:val="24"/>
              </w:rPr>
            </w:pPr>
          </w:p>
          <w:p w14:paraId="106FF1BE" w14:textId="77777777" w:rsidR="00A800D8" w:rsidRPr="008D5CFD" w:rsidRDefault="00A800D8" w:rsidP="00506A22">
            <w:pPr>
              <w:rPr>
                <w:rFonts w:ascii="Calibri" w:hAnsi="Calibri" w:cs="Arial"/>
                <w:sz w:val="24"/>
              </w:rPr>
            </w:pPr>
          </w:p>
          <w:p w14:paraId="3199D320" w14:textId="77777777" w:rsidR="00A800D8" w:rsidRPr="008D5CFD" w:rsidRDefault="00A800D8" w:rsidP="00506A22">
            <w:pPr>
              <w:rPr>
                <w:rFonts w:ascii="Calibri" w:hAnsi="Calibri" w:cs="Arial"/>
                <w:sz w:val="24"/>
              </w:rPr>
            </w:pPr>
            <w:r w:rsidRPr="008D5CFD">
              <w:rPr>
                <w:rFonts w:ascii="Calibri" w:hAnsi="Calibri" w:cs="Arial"/>
                <w:sz w:val="24"/>
              </w:rPr>
              <w:t>Paragraph (a) of section 63</w:t>
            </w:r>
          </w:p>
          <w:p w14:paraId="754548F1" w14:textId="77777777" w:rsidR="00A800D8" w:rsidRPr="008D5CFD" w:rsidRDefault="00A800D8" w:rsidP="00506A22">
            <w:pPr>
              <w:rPr>
                <w:rFonts w:ascii="Calibri" w:hAnsi="Calibri" w:cs="Arial"/>
                <w:sz w:val="24"/>
              </w:rPr>
            </w:pPr>
          </w:p>
          <w:p w14:paraId="7E0C28FA" w14:textId="77777777" w:rsidR="00A800D8" w:rsidRPr="008D5CFD" w:rsidRDefault="00A800D8" w:rsidP="00506A22">
            <w:pPr>
              <w:rPr>
                <w:rFonts w:ascii="Calibri" w:hAnsi="Calibri" w:cs="Arial"/>
                <w:sz w:val="24"/>
              </w:rPr>
            </w:pPr>
          </w:p>
          <w:p w14:paraId="338D0086" w14:textId="77777777" w:rsidR="00A800D8" w:rsidRPr="008D5CFD" w:rsidRDefault="00A800D8" w:rsidP="00506A22">
            <w:pPr>
              <w:rPr>
                <w:rFonts w:ascii="Calibri" w:hAnsi="Calibri" w:cs="Arial"/>
                <w:sz w:val="24"/>
              </w:rPr>
            </w:pPr>
          </w:p>
          <w:p w14:paraId="4359D857" w14:textId="77777777" w:rsidR="00A800D8" w:rsidRPr="008D5CFD" w:rsidRDefault="00A800D8" w:rsidP="00506A22">
            <w:pPr>
              <w:rPr>
                <w:rFonts w:ascii="Calibri" w:hAnsi="Calibri" w:cs="Arial"/>
                <w:sz w:val="24"/>
              </w:rPr>
            </w:pPr>
          </w:p>
          <w:p w14:paraId="68CD5C44" w14:textId="77777777" w:rsidR="00A800D8" w:rsidRPr="008D5CFD" w:rsidRDefault="00A800D8" w:rsidP="00506A22">
            <w:pPr>
              <w:rPr>
                <w:rFonts w:ascii="Calibri" w:hAnsi="Calibri" w:cs="Arial"/>
                <w:sz w:val="24"/>
              </w:rPr>
            </w:pPr>
          </w:p>
          <w:p w14:paraId="295994AA" w14:textId="77777777" w:rsidR="00A800D8" w:rsidRPr="008D5CFD" w:rsidRDefault="00A800D8" w:rsidP="00506A22">
            <w:pPr>
              <w:rPr>
                <w:rFonts w:ascii="Calibri" w:hAnsi="Calibri" w:cs="Arial"/>
                <w:sz w:val="24"/>
              </w:rPr>
            </w:pPr>
          </w:p>
          <w:p w14:paraId="6CA9102D" w14:textId="77777777" w:rsidR="00A800D8" w:rsidRPr="008D5CFD" w:rsidRDefault="00A800D8" w:rsidP="00506A22">
            <w:pPr>
              <w:rPr>
                <w:rFonts w:ascii="Calibri" w:hAnsi="Calibri" w:cs="Arial"/>
                <w:sz w:val="24"/>
              </w:rPr>
            </w:pPr>
          </w:p>
          <w:p w14:paraId="568A9739" w14:textId="77777777" w:rsidR="00A800D8" w:rsidRPr="008D5CFD" w:rsidRDefault="00A800D8" w:rsidP="00BF1F5E">
            <w:pPr>
              <w:rPr>
                <w:rFonts w:ascii="Calibri" w:hAnsi="Calibri"/>
                <w:sz w:val="24"/>
              </w:rPr>
            </w:pPr>
          </w:p>
        </w:tc>
        <w:tc>
          <w:tcPr>
            <w:tcW w:w="3341" w:type="dxa"/>
          </w:tcPr>
          <w:p w14:paraId="5F5C6816" w14:textId="77777777" w:rsidR="00A800D8" w:rsidRPr="008D5CFD" w:rsidRDefault="00A800D8" w:rsidP="00506A22">
            <w:pPr>
              <w:rPr>
                <w:rFonts w:ascii="Calibri" w:hAnsi="Calibri" w:cs="Arial"/>
                <w:sz w:val="24"/>
              </w:rPr>
            </w:pPr>
            <w:r w:rsidRPr="008D5CFD">
              <w:rPr>
                <w:rFonts w:ascii="Calibri" w:hAnsi="Calibri" w:cs="Arial"/>
                <w:sz w:val="24"/>
              </w:rPr>
              <w:lastRenderedPageBreak/>
              <w:t>Repealed by section 36 of the Residential Tenancies (Amendment) Act 2019.</w:t>
            </w:r>
          </w:p>
          <w:p w14:paraId="77120EB9" w14:textId="77777777" w:rsidR="00A800D8" w:rsidRPr="008D5CFD" w:rsidRDefault="00A800D8" w:rsidP="00506A22">
            <w:pPr>
              <w:rPr>
                <w:rFonts w:ascii="Calibri" w:hAnsi="Calibri" w:cs="Arial"/>
                <w:sz w:val="24"/>
              </w:rPr>
            </w:pPr>
          </w:p>
          <w:p w14:paraId="0ACBBD48" w14:textId="77777777" w:rsidR="00A800D8" w:rsidRPr="008D5CFD" w:rsidRDefault="00A800D8" w:rsidP="00506A22">
            <w:pPr>
              <w:rPr>
                <w:rFonts w:ascii="Calibri" w:hAnsi="Calibri" w:cs="Arial"/>
                <w:sz w:val="24"/>
              </w:rPr>
            </w:pPr>
          </w:p>
          <w:p w14:paraId="45292030" w14:textId="77777777" w:rsidR="00A800D8" w:rsidRPr="008D5CFD" w:rsidRDefault="00A800D8" w:rsidP="00506A22">
            <w:pPr>
              <w:rPr>
                <w:rFonts w:ascii="Calibri" w:hAnsi="Calibri" w:cs="Arial"/>
                <w:sz w:val="24"/>
              </w:rPr>
            </w:pPr>
          </w:p>
          <w:p w14:paraId="55C4B1A5" w14:textId="77777777" w:rsidR="00A800D8" w:rsidRPr="008D5CFD" w:rsidRDefault="00A800D8" w:rsidP="00506A22">
            <w:pPr>
              <w:rPr>
                <w:rFonts w:ascii="Calibri" w:hAnsi="Calibri" w:cs="Arial"/>
                <w:sz w:val="24"/>
              </w:rPr>
            </w:pPr>
          </w:p>
          <w:p w14:paraId="75DFE978" w14:textId="77777777" w:rsidR="00A800D8" w:rsidRPr="008D5CFD" w:rsidRDefault="00A800D8" w:rsidP="00506A22">
            <w:pPr>
              <w:rPr>
                <w:rFonts w:ascii="Calibri" w:hAnsi="Calibri" w:cs="Arial"/>
                <w:sz w:val="24"/>
              </w:rPr>
            </w:pPr>
          </w:p>
          <w:p w14:paraId="2A0C9B54" w14:textId="77777777" w:rsidR="00A800D8" w:rsidRPr="008D5CFD" w:rsidRDefault="00A800D8" w:rsidP="00506A22">
            <w:pPr>
              <w:rPr>
                <w:rFonts w:ascii="Calibri" w:hAnsi="Calibri" w:cs="Arial"/>
                <w:sz w:val="24"/>
              </w:rPr>
            </w:pPr>
          </w:p>
          <w:p w14:paraId="40AFAD5F" w14:textId="77777777" w:rsidR="00A800D8" w:rsidRPr="008D5CFD" w:rsidRDefault="00A800D8" w:rsidP="00506A22">
            <w:pPr>
              <w:rPr>
                <w:rFonts w:ascii="Calibri" w:hAnsi="Calibri" w:cs="Arial"/>
                <w:sz w:val="24"/>
              </w:rPr>
            </w:pPr>
          </w:p>
          <w:p w14:paraId="2E9AF6C5" w14:textId="77777777" w:rsidR="00A800D8" w:rsidRPr="008D5CFD" w:rsidRDefault="00A800D8" w:rsidP="00506A22">
            <w:pPr>
              <w:rPr>
                <w:rFonts w:ascii="Calibri" w:hAnsi="Calibri" w:cs="Arial"/>
                <w:sz w:val="24"/>
              </w:rPr>
            </w:pPr>
          </w:p>
          <w:p w14:paraId="09F9B491" w14:textId="77777777" w:rsidR="00A800D8" w:rsidRPr="008D5CFD" w:rsidRDefault="00A800D8" w:rsidP="00506A22">
            <w:pPr>
              <w:rPr>
                <w:rFonts w:ascii="Calibri" w:hAnsi="Calibri" w:cs="Arial"/>
                <w:sz w:val="24"/>
              </w:rPr>
            </w:pPr>
          </w:p>
          <w:p w14:paraId="4B90DFB7" w14:textId="77777777" w:rsidR="00A800D8" w:rsidRPr="008D5CFD" w:rsidRDefault="00A800D8" w:rsidP="00506A22">
            <w:pPr>
              <w:rPr>
                <w:rFonts w:ascii="Calibri" w:hAnsi="Calibri" w:cs="Arial"/>
                <w:sz w:val="24"/>
                <w:u w:val="single"/>
              </w:rPr>
            </w:pPr>
            <w:r w:rsidRPr="008D5CFD">
              <w:rPr>
                <w:rFonts w:ascii="Calibri" w:hAnsi="Calibri" w:cs="Arial"/>
                <w:sz w:val="24"/>
              </w:rPr>
              <w:t>These provisions relate to the introduction of a Deposit Protection Scheme. Commencement is delayed pending a review of the legislative provisions from an operational perspective.</w:t>
            </w:r>
          </w:p>
          <w:p w14:paraId="0FE33C6F" w14:textId="77777777" w:rsidR="00A800D8" w:rsidRPr="008D5CFD" w:rsidRDefault="00A800D8" w:rsidP="00506A22">
            <w:pPr>
              <w:rPr>
                <w:rFonts w:ascii="Calibri" w:hAnsi="Calibri" w:cs="Arial"/>
                <w:sz w:val="24"/>
                <w:u w:val="single"/>
              </w:rPr>
            </w:pPr>
          </w:p>
          <w:p w14:paraId="1B9236B5" w14:textId="77777777" w:rsidR="00A800D8" w:rsidRPr="008D5CFD" w:rsidRDefault="00A800D8" w:rsidP="00506A22">
            <w:pPr>
              <w:rPr>
                <w:rFonts w:ascii="Calibri" w:hAnsi="Calibri" w:cs="Arial"/>
                <w:sz w:val="24"/>
              </w:rPr>
            </w:pPr>
          </w:p>
          <w:p w14:paraId="53498310" w14:textId="77777777" w:rsidR="00A800D8" w:rsidRPr="008D5CFD" w:rsidRDefault="00A800D8" w:rsidP="00506A22">
            <w:pPr>
              <w:rPr>
                <w:rFonts w:ascii="Calibri" w:hAnsi="Calibri" w:cs="Arial"/>
                <w:sz w:val="24"/>
              </w:rPr>
            </w:pPr>
          </w:p>
          <w:p w14:paraId="4635D753" w14:textId="77777777" w:rsidR="00A800D8" w:rsidRPr="008D5CFD" w:rsidRDefault="00A800D8" w:rsidP="00506A22">
            <w:pPr>
              <w:rPr>
                <w:rFonts w:ascii="Calibri" w:hAnsi="Calibri" w:cs="Arial"/>
                <w:sz w:val="24"/>
              </w:rPr>
            </w:pPr>
          </w:p>
          <w:p w14:paraId="1A92752E" w14:textId="77777777" w:rsidR="00A800D8" w:rsidRPr="008D5CFD" w:rsidRDefault="00A800D8" w:rsidP="00506A22">
            <w:pPr>
              <w:rPr>
                <w:rFonts w:ascii="Calibri" w:hAnsi="Calibri" w:cs="Arial"/>
                <w:sz w:val="24"/>
              </w:rPr>
            </w:pPr>
          </w:p>
          <w:p w14:paraId="7FA61A02" w14:textId="77777777" w:rsidR="00A800D8" w:rsidRPr="008D5CFD" w:rsidRDefault="00A800D8" w:rsidP="00506A22">
            <w:pPr>
              <w:rPr>
                <w:rFonts w:ascii="Calibri" w:hAnsi="Calibri" w:cs="Arial"/>
                <w:sz w:val="24"/>
              </w:rPr>
            </w:pPr>
          </w:p>
          <w:p w14:paraId="2240B6B0" w14:textId="77777777" w:rsidR="00A800D8" w:rsidRPr="008D5CFD" w:rsidRDefault="00A800D8" w:rsidP="00506A22">
            <w:pPr>
              <w:rPr>
                <w:rFonts w:ascii="Calibri" w:hAnsi="Calibri" w:cs="Arial"/>
                <w:sz w:val="24"/>
                <w:u w:val="single"/>
              </w:rPr>
            </w:pPr>
            <w:r w:rsidRPr="008D5CFD">
              <w:rPr>
                <w:rFonts w:ascii="Calibri" w:hAnsi="Calibri" w:cs="Arial"/>
                <w:sz w:val="24"/>
              </w:rPr>
              <w:t xml:space="preserve">Sections 34-35, 38, 43, 46, 48, 51(1)(b), 52(6), 53 and 73 provide for the insertion of a </w:t>
            </w:r>
            <w:r w:rsidRPr="008D5CFD">
              <w:rPr>
                <w:rFonts w:ascii="Calibri" w:hAnsi="Calibri" w:cs="Arial"/>
                <w:sz w:val="24"/>
              </w:rPr>
              <w:lastRenderedPageBreak/>
              <w:t>new Section 76A and consequential amendments regarding referral of complaints to the Board for resolution in respect of non-compliance with Section 86(1)(a), i.e. the requirement to continue to pay rent pending the determination of a dispute. Commencement is delayed pending a review of the legislative provisions from an operational perspective.</w:t>
            </w:r>
          </w:p>
          <w:p w14:paraId="27AD506F" w14:textId="77777777" w:rsidR="00A800D8" w:rsidRPr="008D5CFD" w:rsidRDefault="00A800D8" w:rsidP="00506A22">
            <w:pPr>
              <w:rPr>
                <w:rFonts w:ascii="Calibri" w:hAnsi="Calibri" w:cs="Arial"/>
                <w:sz w:val="24"/>
                <w:u w:val="single"/>
              </w:rPr>
            </w:pPr>
          </w:p>
          <w:p w14:paraId="3EF38BA4" w14:textId="77777777" w:rsidR="00A800D8" w:rsidRPr="008D5CFD" w:rsidRDefault="00A800D8" w:rsidP="00506A22">
            <w:pPr>
              <w:rPr>
                <w:rFonts w:ascii="Calibri" w:hAnsi="Calibri" w:cs="Arial"/>
                <w:sz w:val="24"/>
              </w:rPr>
            </w:pPr>
          </w:p>
          <w:p w14:paraId="2040D9D6" w14:textId="77777777" w:rsidR="00A800D8" w:rsidRPr="008D5CFD" w:rsidRDefault="00A800D8" w:rsidP="00506A22">
            <w:pPr>
              <w:rPr>
                <w:rFonts w:ascii="Calibri" w:hAnsi="Calibri" w:cs="Arial"/>
                <w:sz w:val="24"/>
              </w:rPr>
            </w:pPr>
          </w:p>
          <w:p w14:paraId="72F1B69D" w14:textId="77777777" w:rsidR="00A800D8" w:rsidRPr="008D5CFD" w:rsidRDefault="00A800D8" w:rsidP="00506A22">
            <w:pPr>
              <w:rPr>
                <w:rFonts w:ascii="Calibri" w:hAnsi="Calibri" w:cs="Arial"/>
                <w:sz w:val="24"/>
              </w:rPr>
            </w:pPr>
            <w:r w:rsidRPr="008D5CFD">
              <w:rPr>
                <w:rFonts w:ascii="Calibri" w:hAnsi="Calibri" w:cs="Arial"/>
                <w:sz w:val="24"/>
              </w:rPr>
              <w:t xml:space="preserve">This provision will commence upon the move to annual registration of tenancies with the RTB in Q3 2021. </w:t>
            </w:r>
          </w:p>
          <w:p w14:paraId="3DF79700" w14:textId="77777777" w:rsidR="00A800D8" w:rsidRPr="008D5CFD" w:rsidRDefault="00A800D8" w:rsidP="00506A22">
            <w:pPr>
              <w:rPr>
                <w:rFonts w:ascii="Calibri" w:hAnsi="Calibri" w:cs="Arial"/>
                <w:sz w:val="24"/>
              </w:rPr>
            </w:pPr>
          </w:p>
          <w:p w14:paraId="5E68BF7A" w14:textId="77777777" w:rsidR="00A800D8" w:rsidRPr="008D5CFD" w:rsidRDefault="00A800D8" w:rsidP="00506A22">
            <w:pPr>
              <w:rPr>
                <w:rFonts w:ascii="Calibri" w:hAnsi="Calibri" w:cs="Arial"/>
                <w:sz w:val="24"/>
              </w:rPr>
            </w:pPr>
          </w:p>
          <w:p w14:paraId="1DD8519B" w14:textId="77777777" w:rsidR="00A800D8" w:rsidRPr="008D5CFD" w:rsidRDefault="00A800D8" w:rsidP="00A94D34">
            <w:pPr>
              <w:rPr>
                <w:rFonts w:ascii="Calibri" w:hAnsi="Calibri" w:cs="Calibri"/>
                <w:sz w:val="24"/>
              </w:rPr>
            </w:pPr>
          </w:p>
        </w:tc>
      </w:tr>
      <w:tr w:rsidR="00A800D8" w:rsidRPr="008D5CFD" w14:paraId="151E09BE" w14:textId="73044A9B" w:rsidTr="00A800D8">
        <w:tc>
          <w:tcPr>
            <w:tcW w:w="3005" w:type="dxa"/>
          </w:tcPr>
          <w:p w14:paraId="640B625B" w14:textId="319876F8" w:rsidR="00A800D8" w:rsidRPr="008D5CFD" w:rsidRDefault="00A800D8" w:rsidP="00BF1F5E">
            <w:pPr>
              <w:rPr>
                <w:rFonts w:ascii="Calibri" w:hAnsi="Calibri"/>
                <w:sz w:val="24"/>
              </w:rPr>
            </w:pPr>
            <w:r w:rsidRPr="008D5CFD">
              <w:rPr>
                <w:rFonts w:ascii="Calibri" w:hAnsi="Calibri" w:cs="Arial"/>
                <w:sz w:val="24"/>
              </w:rPr>
              <w:lastRenderedPageBreak/>
              <w:t>Planning and Development (Housing) and Residential Tenancies Act 2016</w:t>
            </w:r>
          </w:p>
        </w:tc>
        <w:tc>
          <w:tcPr>
            <w:tcW w:w="3005" w:type="dxa"/>
          </w:tcPr>
          <w:p w14:paraId="5A689806" w14:textId="0B851DD2" w:rsidR="00A800D8" w:rsidRPr="000F691D" w:rsidRDefault="00A800D8" w:rsidP="00F35173">
            <w:pPr>
              <w:rPr>
                <w:rFonts w:ascii="Calibri" w:hAnsi="Calibri" w:cs="Arial"/>
                <w:sz w:val="24"/>
              </w:rPr>
            </w:pPr>
            <w:r w:rsidRPr="000F691D">
              <w:rPr>
                <w:rFonts w:ascii="Calibri" w:hAnsi="Calibri" w:cs="Arial"/>
                <w:sz w:val="24"/>
              </w:rPr>
              <w:t xml:space="preserve">Section 26 </w:t>
            </w:r>
          </w:p>
          <w:p w14:paraId="799D014E" w14:textId="77777777" w:rsidR="00A800D8" w:rsidRPr="000F691D" w:rsidRDefault="00A800D8" w:rsidP="00F35173">
            <w:pPr>
              <w:rPr>
                <w:rFonts w:ascii="Calibri" w:hAnsi="Calibri" w:cs="Arial"/>
                <w:sz w:val="24"/>
              </w:rPr>
            </w:pPr>
          </w:p>
          <w:p w14:paraId="17481974" w14:textId="77777777" w:rsidR="00A800D8" w:rsidRPr="000F691D" w:rsidRDefault="00A800D8" w:rsidP="00F35173">
            <w:pPr>
              <w:rPr>
                <w:rFonts w:ascii="Calibri" w:hAnsi="Calibri" w:cs="Arial"/>
                <w:sz w:val="24"/>
              </w:rPr>
            </w:pPr>
          </w:p>
          <w:p w14:paraId="1ED9F352" w14:textId="77777777" w:rsidR="00A800D8" w:rsidRPr="000F691D" w:rsidRDefault="00A800D8" w:rsidP="00F35173">
            <w:pPr>
              <w:rPr>
                <w:rFonts w:ascii="Calibri" w:hAnsi="Calibri" w:cs="Arial"/>
                <w:sz w:val="24"/>
              </w:rPr>
            </w:pPr>
          </w:p>
          <w:p w14:paraId="2A584670" w14:textId="77777777" w:rsidR="00A800D8" w:rsidRPr="000F691D" w:rsidRDefault="00A800D8" w:rsidP="00F35173">
            <w:pPr>
              <w:rPr>
                <w:rFonts w:ascii="Calibri" w:hAnsi="Calibri" w:cs="Arial"/>
                <w:sz w:val="24"/>
              </w:rPr>
            </w:pPr>
            <w:r w:rsidRPr="000F691D">
              <w:rPr>
                <w:rFonts w:ascii="Calibri" w:hAnsi="Calibri" w:cs="Arial"/>
                <w:sz w:val="24"/>
              </w:rPr>
              <w:t xml:space="preserve">Section 28(1) </w:t>
            </w:r>
          </w:p>
          <w:p w14:paraId="179312A1" w14:textId="77777777" w:rsidR="00A800D8" w:rsidRPr="000F691D" w:rsidRDefault="00A800D8" w:rsidP="00F35173">
            <w:pPr>
              <w:rPr>
                <w:rFonts w:ascii="Calibri" w:hAnsi="Calibri" w:cs="Arial"/>
                <w:sz w:val="24"/>
              </w:rPr>
            </w:pPr>
          </w:p>
          <w:p w14:paraId="003E5919" w14:textId="77777777" w:rsidR="00A800D8" w:rsidRPr="000F691D" w:rsidRDefault="00A800D8" w:rsidP="00F35173">
            <w:pPr>
              <w:rPr>
                <w:rFonts w:ascii="Calibri" w:hAnsi="Calibri" w:cs="Arial"/>
                <w:sz w:val="24"/>
              </w:rPr>
            </w:pPr>
          </w:p>
          <w:p w14:paraId="72ECC6CE" w14:textId="77777777" w:rsidR="00A800D8" w:rsidRPr="000F691D" w:rsidRDefault="00A800D8" w:rsidP="00F35173">
            <w:pPr>
              <w:rPr>
                <w:rFonts w:ascii="Calibri" w:hAnsi="Calibri" w:cs="Arial"/>
                <w:sz w:val="24"/>
              </w:rPr>
            </w:pPr>
          </w:p>
          <w:p w14:paraId="0093CBEC" w14:textId="77777777" w:rsidR="00A800D8" w:rsidRPr="000F691D" w:rsidRDefault="00A800D8" w:rsidP="00F35173">
            <w:pPr>
              <w:rPr>
                <w:rFonts w:ascii="Calibri" w:hAnsi="Calibri" w:cs="Arial"/>
                <w:sz w:val="24"/>
              </w:rPr>
            </w:pPr>
          </w:p>
          <w:p w14:paraId="4102BAA2" w14:textId="77777777" w:rsidR="00A800D8" w:rsidRPr="000F691D" w:rsidRDefault="00A800D8" w:rsidP="00F35173">
            <w:pPr>
              <w:rPr>
                <w:rFonts w:ascii="Calibri" w:hAnsi="Calibri" w:cs="Arial"/>
                <w:sz w:val="24"/>
              </w:rPr>
            </w:pPr>
          </w:p>
          <w:p w14:paraId="20BE9E8A" w14:textId="77777777" w:rsidR="00A800D8" w:rsidRPr="000F691D" w:rsidRDefault="00A800D8" w:rsidP="00F35173">
            <w:pPr>
              <w:rPr>
                <w:rFonts w:ascii="Calibri" w:hAnsi="Calibri" w:cs="Arial"/>
                <w:sz w:val="24"/>
              </w:rPr>
            </w:pPr>
          </w:p>
          <w:p w14:paraId="4BD4D03A" w14:textId="77777777" w:rsidR="00A800D8" w:rsidRPr="000F691D" w:rsidRDefault="00A800D8" w:rsidP="00F35173">
            <w:pPr>
              <w:rPr>
                <w:rFonts w:ascii="Calibri" w:hAnsi="Calibri" w:cs="Arial"/>
                <w:sz w:val="24"/>
              </w:rPr>
            </w:pPr>
          </w:p>
          <w:p w14:paraId="3E450E79" w14:textId="77777777" w:rsidR="00A800D8" w:rsidRPr="000F691D" w:rsidRDefault="00A800D8" w:rsidP="00F35173">
            <w:pPr>
              <w:rPr>
                <w:rFonts w:ascii="Calibri" w:hAnsi="Calibri" w:cs="Arial"/>
                <w:sz w:val="24"/>
              </w:rPr>
            </w:pPr>
          </w:p>
          <w:p w14:paraId="011BC892" w14:textId="77777777" w:rsidR="00A800D8" w:rsidRPr="000F691D" w:rsidRDefault="00A800D8" w:rsidP="00F35173">
            <w:pPr>
              <w:rPr>
                <w:rFonts w:ascii="Calibri" w:hAnsi="Calibri" w:cs="Arial"/>
                <w:sz w:val="24"/>
              </w:rPr>
            </w:pPr>
            <w:r w:rsidRPr="000F691D">
              <w:rPr>
                <w:rFonts w:ascii="Calibri" w:hAnsi="Calibri" w:cs="Arial"/>
                <w:sz w:val="24"/>
              </w:rPr>
              <w:t xml:space="preserve">Sections 44 and 45 </w:t>
            </w:r>
          </w:p>
          <w:p w14:paraId="21EA3E8A" w14:textId="77777777" w:rsidR="00A800D8" w:rsidRPr="000F691D" w:rsidRDefault="00A800D8" w:rsidP="00F35173">
            <w:pPr>
              <w:rPr>
                <w:rFonts w:ascii="Calibri" w:hAnsi="Calibri" w:cs="Arial"/>
                <w:sz w:val="24"/>
              </w:rPr>
            </w:pPr>
          </w:p>
          <w:p w14:paraId="326E0223" w14:textId="77777777" w:rsidR="00A800D8" w:rsidRPr="000F691D" w:rsidRDefault="00A800D8" w:rsidP="00F35173">
            <w:pPr>
              <w:rPr>
                <w:rFonts w:ascii="Calibri" w:hAnsi="Calibri" w:cs="Arial"/>
                <w:sz w:val="24"/>
              </w:rPr>
            </w:pPr>
          </w:p>
          <w:p w14:paraId="23C930C0" w14:textId="77777777" w:rsidR="00A800D8" w:rsidRPr="000F691D" w:rsidRDefault="00A800D8" w:rsidP="00BF1F5E">
            <w:pPr>
              <w:rPr>
                <w:rFonts w:ascii="Calibri" w:hAnsi="Calibri"/>
                <w:sz w:val="24"/>
              </w:rPr>
            </w:pPr>
          </w:p>
        </w:tc>
        <w:tc>
          <w:tcPr>
            <w:tcW w:w="3341" w:type="dxa"/>
          </w:tcPr>
          <w:p w14:paraId="73948FAA" w14:textId="77777777" w:rsidR="00A800D8" w:rsidRPr="000F691D" w:rsidRDefault="00A800D8" w:rsidP="00F35173">
            <w:pPr>
              <w:rPr>
                <w:rFonts w:ascii="Calibri" w:hAnsi="Calibri" w:cs="Arial"/>
                <w:sz w:val="24"/>
              </w:rPr>
            </w:pPr>
            <w:r w:rsidRPr="000F691D">
              <w:rPr>
                <w:rFonts w:ascii="Calibri" w:hAnsi="Calibri" w:cs="Arial"/>
                <w:sz w:val="24"/>
              </w:rPr>
              <w:t>Section 26 has been repealed by SI 296 of 2018.</w:t>
            </w:r>
          </w:p>
          <w:p w14:paraId="217C783E" w14:textId="77777777" w:rsidR="00A800D8" w:rsidRDefault="00A800D8" w:rsidP="00F35173">
            <w:pPr>
              <w:rPr>
                <w:rFonts w:ascii="Calibri" w:hAnsi="Calibri" w:cs="Arial"/>
                <w:sz w:val="24"/>
                <w:highlight w:val="yellow"/>
              </w:rPr>
            </w:pPr>
          </w:p>
          <w:p w14:paraId="18FCF3F3" w14:textId="77777777" w:rsidR="00A800D8" w:rsidRPr="000F691D" w:rsidRDefault="00A800D8" w:rsidP="00F35173">
            <w:pPr>
              <w:rPr>
                <w:rFonts w:ascii="Calibri" w:hAnsi="Calibri" w:cs="Arial"/>
                <w:sz w:val="24"/>
                <w:lang w:val="en-US"/>
              </w:rPr>
            </w:pPr>
          </w:p>
          <w:p w14:paraId="3E2E967E" w14:textId="77777777" w:rsidR="00A800D8" w:rsidRPr="000F691D" w:rsidRDefault="00A800D8" w:rsidP="000F691D">
            <w:pPr>
              <w:rPr>
                <w:rFonts w:ascii="Calibri" w:hAnsi="Calibri" w:cs="Arial"/>
                <w:sz w:val="24"/>
                <w:lang w:val="en-US"/>
              </w:rPr>
            </w:pPr>
            <w:r w:rsidRPr="000F691D">
              <w:rPr>
                <w:rFonts w:ascii="Calibri" w:hAnsi="Calibri" w:cs="Arial"/>
                <w:sz w:val="24"/>
                <w:lang w:val="en-US"/>
              </w:rPr>
              <w:t>Further associated amendments are required in order to commence to this provision. Drafting of these additional amendments is currently underway.</w:t>
            </w:r>
          </w:p>
          <w:p w14:paraId="73A9D6C1" w14:textId="77777777" w:rsidR="00A800D8" w:rsidRPr="008D5CFD" w:rsidRDefault="00A800D8" w:rsidP="00F35173">
            <w:pPr>
              <w:rPr>
                <w:rFonts w:ascii="Calibri" w:hAnsi="Calibri" w:cs="Arial"/>
                <w:sz w:val="24"/>
              </w:rPr>
            </w:pPr>
          </w:p>
          <w:p w14:paraId="55A0988E" w14:textId="77777777" w:rsidR="00A800D8" w:rsidRPr="008D5CFD" w:rsidRDefault="00A800D8" w:rsidP="00F35173">
            <w:pPr>
              <w:rPr>
                <w:rFonts w:ascii="Calibri" w:hAnsi="Calibri" w:cs="Arial"/>
                <w:sz w:val="24"/>
              </w:rPr>
            </w:pPr>
          </w:p>
          <w:p w14:paraId="785FFA9B" w14:textId="0D0975E7" w:rsidR="00A800D8" w:rsidRPr="008D5CFD" w:rsidRDefault="00A800D8" w:rsidP="00F35173">
            <w:pPr>
              <w:rPr>
                <w:rFonts w:ascii="Calibri" w:hAnsi="Calibri" w:cs="Calibri"/>
                <w:sz w:val="24"/>
              </w:rPr>
            </w:pPr>
            <w:r w:rsidRPr="008D5CFD">
              <w:rPr>
                <w:rFonts w:ascii="Calibri" w:hAnsi="Calibri" w:cs="Arial"/>
                <w:sz w:val="24"/>
                <w:lang w:val="en-US"/>
              </w:rPr>
              <w:t>Sections 44 and 45 provide for</w:t>
            </w:r>
            <w:r w:rsidRPr="008D5CFD">
              <w:rPr>
                <w:rFonts w:ascii="Calibri" w:hAnsi="Calibri" w:cs="Arial"/>
                <w:sz w:val="24"/>
              </w:rPr>
              <w:t xml:space="preserve"> one-person Tribunals, rather than three-person Tribunals, in the Residential Tenancies Board (RTB) for certain categories of cases. Technical amendment is expected to be made in Q4 2021 to enable their commencement.</w:t>
            </w:r>
          </w:p>
        </w:tc>
      </w:tr>
      <w:tr w:rsidR="00A800D8" w:rsidRPr="008D5CFD" w14:paraId="02E549B0" w14:textId="5AF5DD02" w:rsidTr="00A800D8">
        <w:tc>
          <w:tcPr>
            <w:tcW w:w="3005" w:type="dxa"/>
          </w:tcPr>
          <w:p w14:paraId="03A78393" w14:textId="12C0CDB2" w:rsidR="00A800D8" w:rsidRPr="008D5CFD" w:rsidRDefault="00A800D8" w:rsidP="00BF1F5E">
            <w:pPr>
              <w:rPr>
                <w:rFonts w:ascii="Calibri" w:hAnsi="Calibri"/>
                <w:sz w:val="24"/>
              </w:rPr>
            </w:pPr>
            <w:r w:rsidRPr="008D5CFD">
              <w:rPr>
                <w:rFonts w:ascii="Calibri" w:hAnsi="Calibri" w:cs="Arial"/>
                <w:sz w:val="24"/>
              </w:rPr>
              <w:t>Residential Tenancies (Amendment) Act 2019</w:t>
            </w:r>
          </w:p>
        </w:tc>
        <w:tc>
          <w:tcPr>
            <w:tcW w:w="3005" w:type="dxa"/>
          </w:tcPr>
          <w:p w14:paraId="4CAA2E7F" w14:textId="77777777" w:rsidR="00A800D8" w:rsidRPr="008D5CFD" w:rsidRDefault="00A800D8" w:rsidP="00901245">
            <w:pPr>
              <w:rPr>
                <w:rFonts w:ascii="Calibri" w:hAnsi="Calibri" w:cs="Arial"/>
                <w:sz w:val="24"/>
              </w:rPr>
            </w:pPr>
            <w:r w:rsidRPr="000F691D">
              <w:rPr>
                <w:rFonts w:ascii="Calibri" w:hAnsi="Calibri" w:cs="Arial"/>
                <w:sz w:val="24"/>
              </w:rPr>
              <w:t>In so far as they have not already commenced</w:t>
            </w:r>
            <w:r w:rsidRPr="008D5CFD">
              <w:rPr>
                <w:rFonts w:ascii="Calibri" w:hAnsi="Calibri" w:cs="Arial"/>
                <w:sz w:val="24"/>
              </w:rPr>
              <w:t>, sections 22, 23, 24 and 25.</w:t>
            </w:r>
          </w:p>
          <w:p w14:paraId="37C69AAD" w14:textId="77777777" w:rsidR="00A800D8" w:rsidRPr="008D5CFD" w:rsidRDefault="00A800D8" w:rsidP="00901245">
            <w:pPr>
              <w:rPr>
                <w:rFonts w:ascii="Calibri" w:hAnsi="Calibri" w:cs="Arial"/>
                <w:sz w:val="24"/>
              </w:rPr>
            </w:pPr>
          </w:p>
          <w:p w14:paraId="59289ED6" w14:textId="77777777" w:rsidR="00A800D8" w:rsidRPr="008D5CFD" w:rsidRDefault="00A800D8" w:rsidP="00901245">
            <w:pPr>
              <w:rPr>
                <w:rFonts w:ascii="Calibri" w:hAnsi="Calibri" w:cs="Arial"/>
                <w:sz w:val="24"/>
              </w:rPr>
            </w:pPr>
            <w:r w:rsidRPr="008D5CFD">
              <w:rPr>
                <w:rFonts w:ascii="Calibri" w:hAnsi="Calibri" w:cs="Arial"/>
                <w:sz w:val="24"/>
              </w:rPr>
              <w:t>Section 26 and paragraph (b) of section 29.</w:t>
            </w:r>
          </w:p>
          <w:p w14:paraId="4C6F4571" w14:textId="77777777" w:rsidR="00A800D8" w:rsidRPr="008D5CFD" w:rsidRDefault="00A800D8" w:rsidP="00BF1F5E">
            <w:pPr>
              <w:rPr>
                <w:rFonts w:ascii="Calibri" w:hAnsi="Calibri"/>
                <w:sz w:val="24"/>
              </w:rPr>
            </w:pPr>
          </w:p>
        </w:tc>
        <w:tc>
          <w:tcPr>
            <w:tcW w:w="3341" w:type="dxa"/>
          </w:tcPr>
          <w:p w14:paraId="63C7CBE0" w14:textId="13181B03" w:rsidR="00A800D8" w:rsidRPr="008D5CFD" w:rsidRDefault="00A800D8" w:rsidP="00A94D34">
            <w:pPr>
              <w:rPr>
                <w:rFonts w:ascii="Calibri" w:hAnsi="Calibri" w:cs="Calibri"/>
                <w:sz w:val="24"/>
              </w:rPr>
            </w:pPr>
            <w:r w:rsidRPr="008D5CFD">
              <w:rPr>
                <w:rFonts w:ascii="Calibri" w:hAnsi="Calibri" w:cs="Arial"/>
                <w:sz w:val="24"/>
              </w:rPr>
              <w:lastRenderedPageBreak/>
              <w:t xml:space="preserve">These provisions relate to annual registration of tenancies with the RTB which is expected </w:t>
            </w:r>
            <w:r w:rsidRPr="008D5CFD">
              <w:rPr>
                <w:rFonts w:ascii="Calibri" w:hAnsi="Calibri" w:cs="Arial"/>
                <w:sz w:val="24"/>
              </w:rPr>
              <w:lastRenderedPageBreak/>
              <w:t>to come into operation in Q3 2021.</w:t>
            </w:r>
          </w:p>
        </w:tc>
      </w:tr>
      <w:tr w:rsidR="00A800D8" w:rsidRPr="008D5CFD" w14:paraId="502F809F" w14:textId="2179FB26" w:rsidTr="00A800D8">
        <w:tc>
          <w:tcPr>
            <w:tcW w:w="3005" w:type="dxa"/>
          </w:tcPr>
          <w:p w14:paraId="4BA346BD" w14:textId="20D02C5A" w:rsidR="00A800D8" w:rsidRPr="008D5CFD" w:rsidRDefault="00A800D8" w:rsidP="00BF1F5E">
            <w:pPr>
              <w:rPr>
                <w:rFonts w:ascii="Calibri" w:hAnsi="Calibri"/>
                <w:sz w:val="24"/>
              </w:rPr>
            </w:pPr>
            <w:r w:rsidRPr="008D5CFD">
              <w:rPr>
                <w:rFonts w:ascii="Calibri" w:hAnsi="Calibri" w:cs="Arial"/>
                <w:sz w:val="24"/>
              </w:rPr>
              <w:lastRenderedPageBreak/>
              <w:t>Local Government Rates and other Matters Act 2019</w:t>
            </w:r>
          </w:p>
        </w:tc>
        <w:tc>
          <w:tcPr>
            <w:tcW w:w="3005" w:type="dxa"/>
          </w:tcPr>
          <w:p w14:paraId="1FE45FED" w14:textId="77777777" w:rsidR="00A800D8" w:rsidRPr="008D5CFD" w:rsidRDefault="00A800D8" w:rsidP="00D67119">
            <w:pPr>
              <w:rPr>
                <w:rFonts w:ascii="Calibri" w:hAnsi="Calibri" w:cs="Arial"/>
                <w:sz w:val="24"/>
              </w:rPr>
            </w:pPr>
            <w:r w:rsidRPr="000F691D">
              <w:rPr>
                <w:rFonts w:ascii="Calibri" w:hAnsi="Calibri" w:cs="Arial"/>
                <w:sz w:val="24"/>
              </w:rPr>
              <w:t>In so far as it has not already commenced</w:t>
            </w:r>
            <w:r w:rsidRPr="008D5CFD">
              <w:rPr>
                <w:rFonts w:ascii="Calibri" w:hAnsi="Calibri" w:cs="Arial"/>
                <w:sz w:val="24"/>
              </w:rPr>
              <w:t>, section 26.</w:t>
            </w:r>
          </w:p>
          <w:p w14:paraId="1740CC69" w14:textId="77777777" w:rsidR="00A800D8" w:rsidRPr="008D5CFD" w:rsidRDefault="00A800D8" w:rsidP="00D67119">
            <w:pPr>
              <w:rPr>
                <w:rFonts w:ascii="Calibri" w:hAnsi="Calibri" w:cs="Arial"/>
                <w:sz w:val="24"/>
              </w:rPr>
            </w:pPr>
          </w:p>
          <w:p w14:paraId="51DD96E7" w14:textId="77777777" w:rsidR="00A800D8" w:rsidRPr="008D5CFD" w:rsidRDefault="00A800D8" w:rsidP="00BF1F5E">
            <w:pPr>
              <w:rPr>
                <w:rFonts w:ascii="Calibri" w:hAnsi="Calibri"/>
                <w:sz w:val="24"/>
              </w:rPr>
            </w:pPr>
          </w:p>
        </w:tc>
        <w:tc>
          <w:tcPr>
            <w:tcW w:w="3341" w:type="dxa"/>
          </w:tcPr>
          <w:p w14:paraId="72690340" w14:textId="77777777" w:rsidR="00A800D8" w:rsidRPr="008D5CFD" w:rsidRDefault="00A800D8" w:rsidP="00D67119">
            <w:pPr>
              <w:rPr>
                <w:rFonts w:ascii="Calibri" w:hAnsi="Calibri" w:cs="Arial"/>
                <w:sz w:val="24"/>
              </w:rPr>
            </w:pPr>
            <w:r w:rsidRPr="008D5CFD">
              <w:rPr>
                <w:rFonts w:ascii="Calibri" w:hAnsi="Calibri" w:cs="Arial"/>
                <w:sz w:val="24"/>
              </w:rPr>
              <w:t xml:space="preserve">Technical amendments to the Residential Tenancies (Amendment) Act 2019 associated with the requirement for annual registration of tenancies with the RTB, expected to come into operation in Q3 2021. </w:t>
            </w:r>
          </w:p>
          <w:p w14:paraId="3CF2F861" w14:textId="77777777" w:rsidR="00A800D8" w:rsidRPr="008D5CFD" w:rsidRDefault="00A800D8" w:rsidP="00A94D34">
            <w:pPr>
              <w:rPr>
                <w:rFonts w:ascii="Calibri" w:hAnsi="Calibri" w:cs="Calibri"/>
                <w:sz w:val="24"/>
              </w:rPr>
            </w:pPr>
          </w:p>
        </w:tc>
      </w:tr>
      <w:tr w:rsidR="00A800D8" w:rsidRPr="008D5CFD" w14:paraId="40963C0F" w14:textId="079D22B0" w:rsidTr="00A800D8">
        <w:tc>
          <w:tcPr>
            <w:tcW w:w="3005" w:type="dxa"/>
          </w:tcPr>
          <w:p w14:paraId="1B6695B8" w14:textId="7DCD9D0C" w:rsidR="00A800D8" w:rsidRPr="008D5CFD" w:rsidRDefault="00A800D8" w:rsidP="00BF1F5E">
            <w:pPr>
              <w:rPr>
                <w:rFonts w:ascii="Calibri" w:hAnsi="Calibri" w:cs="Arial"/>
                <w:sz w:val="24"/>
              </w:rPr>
            </w:pPr>
            <w:r w:rsidRPr="008D5CFD">
              <w:rPr>
                <w:rFonts w:ascii="Calibri" w:hAnsi="Calibri" w:cs="Arial"/>
                <w:sz w:val="24"/>
              </w:rPr>
              <w:t>Housing Act 1966</w:t>
            </w:r>
          </w:p>
        </w:tc>
        <w:tc>
          <w:tcPr>
            <w:tcW w:w="3005" w:type="dxa"/>
          </w:tcPr>
          <w:p w14:paraId="0D7411DA" w14:textId="77777777" w:rsidR="00A800D8" w:rsidRPr="008D5CFD" w:rsidRDefault="00A800D8" w:rsidP="00B94C21">
            <w:pPr>
              <w:rPr>
                <w:rFonts w:ascii="Calibri" w:hAnsi="Calibri" w:cs="Arial"/>
                <w:sz w:val="24"/>
              </w:rPr>
            </w:pPr>
            <w:r w:rsidRPr="008D5CFD">
              <w:rPr>
                <w:rFonts w:ascii="Calibri" w:hAnsi="Calibri" w:cs="Arial"/>
                <w:sz w:val="24"/>
              </w:rPr>
              <w:t>Section 115</w:t>
            </w:r>
          </w:p>
          <w:p w14:paraId="498A6CF0" w14:textId="77777777" w:rsidR="00A800D8" w:rsidRPr="008D5CFD" w:rsidRDefault="00A800D8" w:rsidP="00D67119">
            <w:pPr>
              <w:rPr>
                <w:rFonts w:ascii="Calibri" w:hAnsi="Calibri" w:cs="Arial"/>
                <w:sz w:val="24"/>
              </w:rPr>
            </w:pPr>
          </w:p>
        </w:tc>
        <w:tc>
          <w:tcPr>
            <w:tcW w:w="3341" w:type="dxa"/>
          </w:tcPr>
          <w:p w14:paraId="5E821CC3" w14:textId="3276CDDA" w:rsidR="00A800D8" w:rsidRPr="008D5CFD" w:rsidRDefault="00A800D8" w:rsidP="00D67119">
            <w:pPr>
              <w:rPr>
                <w:rFonts w:ascii="Calibri" w:hAnsi="Calibri" w:cs="Arial"/>
                <w:sz w:val="24"/>
              </w:rPr>
            </w:pPr>
            <w:r w:rsidRPr="008D5CFD">
              <w:rPr>
                <w:rFonts w:ascii="Calibri" w:hAnsi="Calibri" w:cs="Arial"/>
                <w:sz w:val="24"/>
              </w:rPr>
              <w:t>This provision is no longer required in view of section 177 of the Local Government Act 2001 and will be repealed at a suitable opportunity.</w:t>
            </w:r>
          </w:p>
        </w:tc>
      </w:tr>
      <w:tr w:rsidR="00A800D8" w:rsidRPr="008D5CFD" w14:paraId="68FCD2F6" w14:textId="2EDB98A8" w:rsidTr="00A800D8">
        <w:tc>
          <w:tcPr>
            <w:tcW w:w="3005" w:type="dxa"/>
          </w:tcPr>
          <w:p w14:paraId="5E8C1E88" w14:textId="574AABA9" w:rsidR="00A800D8" w:rsidRPr="008D5CFD" w:rsidRDefault="00A800D8" w:rsidP="00BF1F5E">
            <w:pPr>
              <w:rPr>
                <w:rFonts w:ascii="Calibri" w:hAnsi="Calibri" w:cs="Arial"/>
                <w:sz w:val="24"/>
              </w:rPr>
            </w:pPr>
            <w:r w:rsidRPr="008D5CFD">
              <w:rPr>
                <w:rFonts w:ascii="Calibri" w:hAnsi="Calibri" w:cs="Arial"/>
                <w:sz w:val="24"/>
              </w:rPr>
              <w:t>Housing Act 1988</w:t>
            </w:r>
          </w:p>
        </w:tc>
        <w:tc>
          <w:tcPr>
            <w:tcW w:w="3005" w:type="dxa"/>
          </w:tcPr>
          <w:p w14:paraId="407C4057" w14:textId="75C10439" w:rsidR="00A800D8" w:rsidRPr="008D5CFD" w:rsidRDefault="00A800D8" w:rsidP="00B94C21">
            <w:pPr>
              <w:rPr>
                <w:rFonts w:ascii="Calibri" w:hAnsi="Calibri" w:cs="Arial"/>
                <w:sz w:val="24"/>
              </w:rPr>
            </w:pPr>
            <w:r w:rsidRPr="008D5CFD">
              <w:rPr>
                <w:rFonts w:ascii="Calibri" w:hAnsi="Calibri" w:cs="Arial"/>
                <w:sz w:val="24"/>
              </w:rPr>
              <w:t>Section 8</w:t>
            </w:r>
          </w:p>
        </w:tc>
        <w:tc>
          <w:tcPr>
            <w:tcW w:w="3341" w:type="dxa"/>
          </w:tcPr>
          <w:p w14:paraId="79BD29E3" w14:textId="536F7ACE" w:rsidR="00A800D8" w:rsidRPr="008D5CFD" w:rsidRDefault="00A800D8" w:rsidP="00D67119">
            <w:pPr>
              <w:rPr>
                <w:rFonts w:ascii="Calibri" w:hAnsi="Calibri" w:cs="Arial"/>
                <w:sz w:val="24"/>
              </w:rPr>
            </w:pPr>
            <w:r w:rsidRPr="008D5CFD">
              <w:rPr>
                <w:rFonts w:ascii="Calibri" w:hAnsi="Calibri" w:cs="Arial"/>
                <w:sz w:val="24"/>
              </w:rPr>
              <w:t>This provision was repealed by section 7 of the 2009 Housing Act (this repeal was not yet commenced in respect of section 8)</w:t>
            </w:r>
          </w:p>
        </w:tc>
      </w:tr>
      <w:tr w:rsidR="00A800D8" w:rsidRPr="008D5CFD" w14:paraId="6F3912C4" w14:textId="229C448E" w:rsidTr="00A800D8">
        <w:tc>
          <w:tcPr>
            <w:tcW w:w="3005" w:type="dxa"/>
          </w:tcPr>
          <w:p w14:paraId="3365637D" w14:textId="279E1A50" w:rsidR="00A800D8" w:rsidRPr="008D5CFD" w:rsidRDefault="00A800D8" w:rsidP="00BF1F5E">
            <w:pPr>
              <w:rPr>
                <w:rFonts w:ascii="Calibri" w:hAnsi="Calibri" w:cs="Arial"/>
                <w:sz w:val="24"/>
              </w:rPr>
            </w:pPr>
            <w:r w:rsidRPr="008D5CFD">
              <w:rPr>
                <w:rFonts w:ascii="Calibri" w:hAnsi="Calibri" w:cs="Arial"/>
                <w:sz w:val="24"/>
              </w:rPr>
              <w:t>Housing (Miscellaneous Provisions) Act 2002</w:t>
            </w:r>
          </w:p>
        </w:tc>
        <w:tc>
          <w:tcPr>
            <w:tcW w:w="3005" w:type="dxa"/>
          </w:tcPr>
          <w:p w14:paraId="53A673D2" w14:textId="05F15DDA" w:rsidR="00A800D8" w:rsidRPr="008D5CFD" w:rsidRDefault="00A800D8" w:rsidP="00B94C21">
            <w:pPr>
              <w:rPr>
                <w:rFonts w:ascii="Calibri" w:hAnsi="Calibri" w:cs="Arial"/>
                <w:sz w:val="24"/>
              </w:rPr>
            </w:pPr>
            <w:r w:rsidRPr="008D5CFD">
              <w:rPr>
                <w:rFonts w:ascii="Calibri" w:hAnsi="Calibri" w:cs="Arial"/>
                <w:sz w:val="24"/>
              </w:rPr>
              <w:t>Section 11</w:t>
            </w:r>
          </w:p>
        </w:tc>
        <w:tc>
          <w:tcPr>
            <w:tcW w:w="3341" w:type="dxa"/>
          </w:tcPr>
          <w:p w14:paraId="33B62F15" w14:textId="3A65B592" w:rsidR="00A800D8" w:rsidRPr="008D5CFD" w:rsidRDefault="00A800D8" w:rsidP="00D67119">
            <w:pPr>
              <w:rPr>
                <w:rFonts w:ascii="Calibri" w:hAnsi="Calibri" w:cs="Arial"/>
                <w:sz w:val="24"/>
              </w:rPr>
            </w:pPr>
            <w:r w:rsidRPr="008D5CFD">
              <w:rPr>
                <w:rFonts w:ascii="Calibri" w:hAnsi="Calibri" w:cs="Arial"/>
                <w:sz w:val="24"/>
              </w:rPr>
              <w:t>This provision is no longer required as it related to the New House Grant which was abolished with effect from 14 Nov 2002 with the deadline for receipt of a written request for payment extended to 2 April 2004.</w:t>
            </w:r>
          </w:p>
        </w:tc>
      </w:tr>
      <w:tr w:rsidR="00A800D8" w:rsidRPr="008D5CFD" w14:paraId="01DC5F7A" w14:textId="6ADDA088" w:rsidTr="00A800D8">
        <w:tc>
          <w:tcPr>
            <w:tcW w:w="3005" w:type="dxa"/>
          </w:tcPr>
          <w:p w14:paraId="64799A1E" w14:textId="1F345228" w:rsidR="00A800D8" w:rsidRPr="008D5CFD" w:rsidRDefault="00A800D8" w:rsidP="00BF1F5E">
            <w:pPr>
              <w:rPr>
                <w:rFonts w:ascii="Calibri" w:hAnsi="Calibri" w:cs="Arial"/>
                <w:sz w:val="24"/>
              </w:rPr>
            </w:pPr>
            <w:r w:rsidRPr="008D5CFD">
              <w:rPr>
                <w:rFonts w:ascii="Calibri" w:hAnsi="Calibri" w:cs="Arial"/>
                <w:sz w:val="24"/>
              </w:rPr>
              <w:t>Housing (Miscellaneous Provisions) Act 2009</w:t>
            </w:r>
          </w:p>
        </w:tc>
        <w:tc>
          <w:tcPr>
            <w:tcW w:w="3005" w:type="dxa"/>
          </w:tcPr>
          <w:p w14:paraId="269120A8" w14:textId="77777777" w:rsidR="00A800D8" w:rsidRPr="008D5CFD" w:rsidRDefault="00A800D8" w:rsidP="005B133B">
            <w:pPr>
              <w:rPr>
                <w:rFonts w:ascii="Calibri" w:hAnsi="Calibri" w:cs="Arial"/>
                <w:sz w:val="24"/>
              </w:rPr>
            </w:pPr>
            <w:r w:rsidRPr="008D5CFD">
              <w:rPr>
                <w:rFonts w:ascii="Calibri" w:hAnsi="Calibri" w:cs="Arial"/>
                <w:sz w:val="24"/>
              </w:rPr>
              <w:t>Section 7 (Repeals)</w:t>
            </w:r>
          </w:p>
          <w:p w14:paraId="289E8B3A" w14:textId="77777777" w:rsidR="00A800D8" w:rsidRPr="008D5CFD" w:rsidRDefault="00A800D8" w:rsidP="005B133B">
            <w:pPr>
              <w:rPr>
                <w:rFonts w:ascii="Calibri" w:hAnsi="Calibri" w:cs="Arial"/>
                <w:sz w:val="24"/>
              </w:rPr>
            </w:pPr>
          </w:p>
          <w:p w14:paraId="654FE5E8" w14:textId="77777777" w:rsidR="00A800D8" w:rsidRPr="008D5CFD" w:rsidRDefault="00A800D8" w:rsidP="005B133B">
            <w:pPr>
              <w:rPr>
                <w:rFonts w:ascii="Calibri" w:hAnsi="Calibri" w:cs="Arial"/>
                <w:sz w:val="24"/>
              </w:rPr>
            </w:pPr>
          </w:p>
          <w:p w14:paraId="4533CF75" w14:textId="77777777" w:rsidR="00A800D8" w:rsidRPr="008D5CFD" w:rsidRDefault="00A800D8" w:rsidP="005B133B">
            <w:pPr>
              <w:rPr>
                <w:rFonts w:ascii="Calibri" w:hAnsi="Calibri" w:cs="Arial"/>
                <w:sz w:val="24"/>
              </w:rPr>
            </w:pPr>
          </w:p>
          <w:p w14:paraId="6FAA9950" w14:textId="77777777" w:rsidR="00A800D8" w:rsidRPr="008D5CFD" w:rsidRDefault="00A800D8" w:rsidP="005B133B">
            <w:pPr>
              <w:rPr>
                <w:rFonts w:ascii="Calibri" w:hAnsi="Calibri" w:cs="Arial"/>
                <w:sz w:val="24"/>
              </w:rPr>
            </w:pPr>
          </w:p>
          <w:p w14:paraId="7EC87BC8" w14:textId="77777777" w:rsidR="00A800D8" w:rsidRPr="008D5CFD" w:rsidRDefault="00A800D8" w:rsidP="005B133B">
            <w:pPr>
              <w:rPr>
                <w:rFonts w:ascii="Calibri" w:hAnsi="Calibri" w:cs="Arial"/>
                <w:sz w:val="24"/>
              </w:rPr>
            </w:pPr>
            <w:r w:rsidRPr="008D5CFD">
              <w:rPr>
                <w:rFonts w:ascii="Calibri" w:hAnsi="Calibri" w:cs="Arial"/>
                <w:sz w:val="24"/>
              </w:rPr>
              <w:t>Section 14-18</w:t>
            </w:r>
          </w:p>
          <w:p w14:paraId="6C41B33F" w14:textId="77777777" w:rsidR="00A800D8" w:rsidRPr="008D5CFD" w:rsidRDefault="00A800D8" w:rsidP="005B133B">
            <w:pPr>
              <w:rPr>
                <w:rFonts w:ascii="Calibri" w:hAnsi="Calibri" w:cs="Arial"/>
                <w:sz w:val="24"/>
              </w:rPr>
            </w:pPr>
            <w:r w:rsidRPr="008D5CFD">
              <w:rPr>
                <w:rFonts w:ascii="Calibri" w:hAnsi="Calibri" w:cs="Arial"/>
                <w:sz w:val="24"/>
              </w:rPr>
              <w:t>Housing Services Plans</w:t>
            </w:r>
          </w:p>
          <w:p w14:paraId="2F866103" w14:textId="77777777" w:rsidR="00A800D8" w:rsidRPr="008D5CFD" w:rsidRDefault="00A800D8" w:rsidP="005B133B">
            <w:pPr>
              <w:rPr>
                <w:rFonts w:ascii="Calibri" w:hAnsi="Calibri" w:cs="Arial"/>
                <w:sz w:val="24"/>
              </w:rPr>
            </w:pPr>
          </w:p>
          <w:p w14:paraId="514483EF" w14:textId="77777777" w:rsidR="00A800D8" w:rsidRPr="008D5CFD" w:rsidRDefault="00A800D8" w:rsidP="005B133B">
            <w:pPr>
              <w:rPr>
                <w:rFonts w:ascii="Calibri" w:hAnsi="Calibri" w:cs="Arial"/>
                <w:sz w:val="24"/>
              </w:rPr>
            </w:pPr>
          </w:p>
          <w:p w14:paraId="4C864B7A" w14:textId="77777777" w:rsidR="00A800D8" w:rsidRPr="008D5CFD" w:rsidRDefault="00A800D8" w:rsidP="005B133B">
            <w:pPr>
              <w:rPr>
                <w:rFonts w:ascii="Calibri" w:hAnsi="Calibri" w:cs="Arial"/>
                <w:sz w:val="24"/>
              </w:rPr>
            </w:pPr>
          </w:p>
          <w:p w14:paraId="570A777D" w14:textId="77777777" w:rsidR="00A800D8" w:rsidRPr="008D5CFD" w:rsidRDefault="00A800D8" w:rsidP="005B133B">
            <w:pPr>
              <w:rPr>
                <w:rFonts w:ascii="Calibri" w:hAnsi="Calibri" w:cs="Arial"/>
                <w:sz w:val="24"/>
              </w:rPr>
            </w:pPr>
            <w:r w:rsidRPr="008D5CFD">
              <w:rPr>
                <w:rFonts w:ascii="Calibri" w:hAnsi="Calibri" w:cs="Arial"/>
                <w:sz w:val="24"/>
              </w:rPr>
              <w:t>Sections 23 - 27 (Rental Accommodation Arrangements)</w:t>
            </w:r>
          </w:p>
          <w:p w14:paraId="4796CD07" w14:textId="77777777" w:rsidR="00A800D8" w:rsidRPr="008D5CFD" w:rsidRDefault="00A800D8" w:rsidP="005B133B">
            <w:pPr>
              <w:rPr>
                <w:rFonts w:ascii="Calibri" w:hAnsi="Calibri" w:cs="Arial"/>
                <w:sz w:val="24"/>
              </w:rPr>
            </w:pPr>
          </w:p>
          <w:p w14:paraId="7F445E7B" w14:textId="77777777" w:rsidR="00A800D8" w:rsidRPr="008D5CFD" w:rsidRDefault="00A800D8" w:rsidP="005B133B">
            <w:pPr>
              <w:rPr>
                <w:rFonts w:ascii="Calibri" w:hAnsi="Calibri" w:cs="Arial"/>
                <w:sz w:val="24"/>
              </w:rPr>
            </w:pPr>
          </w:p>
          <w:p w14:paraId="7CE985D2" w14:textId="77777777" w:rsidR="00A800D8" w:rsidRPr="008D5CFD" w:rsidRDefault="00A800D8" w:rsidP="005B133B">
            <w:pPr>
              <w:rPr>
                <w:rFonts w:ascii="Calibri" w:hAnsi="Calibri" w:cs="Arial"/>
                <w:sz w:val="24"/>
              </w:rPr>
            </w:pPr>
          </w:p>
          <w:p w14:paraId="25BFD448" w14:textId="77777777" w:rsidR="00A800D8" w:rsidRPr="008D5CFD" w:rsidRDefault="00A800D8" w:rsidP="005B133B">
            <w:pPr>
              <w:rPr>
                <w:rFonts w:ascii="Calibri" w:hAnsi="Calibri" w:cs="Arial"/>
                <w:sz w:val="24"/>
              </w:rPr>
            </w:pPr>
          </w:p>
          <w:p w14:paraId="4B3FA5E6" w14:textId="77777777" w:rsidR="00A800D8" w:rsidRPr="008D5CFD" w:rsidRDefault="00A800D8" w:rsidP="005B133B">
            <w:pPr>
              <w:rPr>
                <w:rFonts w:ascii="Calibri" w:hAnsi="Calibri" w:cs="Arial"/>
                <w:sz w:val="24"/>
              </w:rPr>
            </w:pPr>
          </w:p>
          <w:p w14:paraId="63CC36EE" w14:textId="77777777" w:rsidR="00A800D8" w:rsidRPr="008D5CFD" w:rsidRDefault="00A800D8" w:rsidP="005B133B">
            <w:pPr>
              <w:rPr>
                <w:rFonts w:ascii="Calibri" w:hAnsi="Calibri" w:cs="Arial"/>
                <w:sz w:val="24"/>
              </w:rPr>
            </w:pPr>
          </w:p>
          <w:p w14:paraId="2C642227" w14:textId="77777777" w:rsidR="00A800D8" w:rsidRPr="008D5CFD" w:rsidRDefault="00A800D8" w:rsidP="005B133B">
            <w:pPr>
              <w:rPr>
                <w:rFonts w:ascii="Calibri" w:hAnsi="Calibri" w:cs="Arial"/>
                <w:sz w:val="24"/>
              </w:rPr>
            </w:pPr>
          </w:p>
          <w:p w14:paraId="6D5779F3" w14:textId="77777777" w:rsidR="005E5130" w:rsidRDefault="005E5130" w:rsidP="005B133B">
            <w:pPr>
              <w:rPr>
                <w:rFonts w:ascii="Calibri" w:hAnsi="Calibri" w:cs="Arial"/>
                <w:sz w:val="24"/>
              </w:rPr>
            </w:pPr>
          </w:p>
          <w:p w14:paraId="187EF5E8" w14:textId="6BB08126" w:rsidR="00A800D8" w:rsidRPr="008D5CFD" w:rsidRDefault="00A800D8" w:rsidP="005B133B">
            <w:pPr>
              <w:rPr>
                <w:rFonts w:ascii="Calibri" w:hAnsi="Calibri" w:cs="Arial"/>
                <w:sz w:val="24"/>
              </w:rPr>
            </w:pPr>
            <w:r w:rsidRPr="008D5CFD">
              <w:rPr>
                <w:rFonts w:ascii="Calibri" w:hAnsi="Calibri" w:cs="Arial"/>
                <w:sz w:val="24"/>
              </w:rPr>
              <w:t>Section 28</w:t>
            </w:r>
          </w:p>
          <w:p w14:paraId="59AC808C" w14:textId="77777777" w:rsidR="00A800D8" w:rsidRPr="008D5CFD" w:rsidRDefault="00A800D8" w:rsidP="005B133B">
            <w:pPr>
              <w:rPr>
                <w:rFonts w:ascii="Calibri" w:hAnsi="Calibri" w:cs="Arial"/>
                <w:sz w:val="24"/>
              </w:rPr>
            </w:pPr>
            <w:r w:rsidRPr="008D5CFD">
              <w:rPr>
                <w:rFonts w:ascii="Calibri" w:hAnsi="Calibri" w:cs="Arial"/>
                <w:sz w:val="24"/>
              </w:rPr>
              <w:t>Management and control functions of housing authorities</w:t>
            </w:r>
          </w:p>
          <w:p w14:paraId="49CC6EB3" w14:textId="77777777" w:rsidR="00A800D8" w:rsidRPr="008D5CFD" w:rsidRDefault="00A800D8" w:rsidP="005B133B">
            <w:pPr>
              <w:rPr>
                <w:rFonts w:ascii="Calibri" w:hAnsi="Calibri" w:cs="Arial"/>
                <w:sz w:val="24"/>
              </w:rPr>
            </w:pPr>
          </w:p>
          <w:p w14:paraId="42BF9BD3" w14:textId="77777777" w:rsidR="00A800D8" w:rsidRPr="008D5CFD" w:rsidRDefault="00A800D8" w:rsidP="005B133B">
            <w:pPr>
              <w:rPr>
                <w:rFonts w:ascii="Calibri" w:hAnsi="Calibri" w:cs="Arial"/>
                <w:sz w:val="24"/>
              </w:rPr>
            </w:pPr>
          </w:p>
          <w:p w14:paraId="4BC9BC7A" w14:textId="77777777" w:rsidR="00A800D8" w:rsidRPr="008D5CFD" w:rsidRDefault="00A800D8" w:rsidP="005B133B">
            <w:pPr>
              <w:rPr>
                <w:rFonts w:ascii="Calibri" w:hAnsi="Calibri" w:cs="Arial"/>
                <w:sz w:val="24"/>
              </w:rPr>
            </w:pPr>
          </w:p>
          <w:p w14:paraId="15507176" w14:textId="77777777" w:rsidR="00A800D8" w:rsidRPr="008D5CFD" w:rsidRDefault="00A800D8" w:rsidP="005B133B">
            <w:pPr>
              <w:rPr>
                <w:rFonts w:ascii="Calibri" w:hAnsi="Calibri" w:cs="Arial"/>
                <w:sz w:val="24"/>
              </w:rPr>
            </w:pPr>
            <w:r w:rsidRPr="008D5CFD">
              <w:rPr>
                <w:rFonts w:ascii="Calibri" w:hAnsi="Calibri" w:cs="Arial"/>
                <w:sz w:val="24"/>
              </w:rPr>
              <w:t>Section 29</w:t>
            </w:r>
          </w:p>
          <w:p w14:paraId="4A1D66E0" w14:textId="77777777" w:rsidR="00A800D8" w:rsidRPr="008D5CFD" w:rsidRDefault="00A800D8" w:rsidP="005B133B">
            <w:pPr>
              <w:rPr>
                <w:rFonts w:ascii="Calibri" w:hAnsi="Calibri" w:cs="Arial"/>
                <w:sz w:val="24"/>
              </w:rPr>
            </w:pPr>
          </w:p>
          <w:p w14:paraId="65008341" w14:textId="77777777" w:rsidR="00A800D8" w:rsidRPr="008D5CFD" w:rsidRDefault="00A800D8" w:rsidP="005B133B">
            <w:pPr>
              <w:rPr>
                <w:rFonts w:ascii="Calibri" w:hAnsi="Calibri" w:cs="Arial"/>
                <w:sz w:val="24"/>
              </w:rPr>
            </w:pPr>
          </w:p>
          <w:p w14:paraId="5FB83352" w14:textId="77777777" w:rsidR="00A800D8" w:rsidRPr="008D5CFD" w:rsidRDefault="00A800D8" w:rsidP="005B133B">
            <w:pPr>
              <w:rPr>
                <w:rFonts w:ascii="Calibri" w:hAnsi="Calibri" w:cs="Arial"/>
                <w:sz w:val="24"/>
              </w:rPr>
            </w:pPr>
          </w:p>
          <w:p w14:paraId="3895C168" w14:textId="77777777" w:rsidR="00A800D8" w:rsidRPr="008D5CFD" w:rsidRDefault="00A800D8" w:rsidP="005B133B">
            <w:pPr>
              <w:rPr>
                <w:rFonts w:ascii="Calibri" w:hAnsi="Calibri" w:cs="Arial"/>
                <w:sz w:val="24"/>
              </w:rPr>
            </w:pPr>
          </w:p>
          <w:p w14:paraId="64298CD8" w14:textId="77777777" w:rsidR="00A800D8" w:rsidRPr="008D5CFD" w:rsidRDefault="00A800D8" w:rsidP="005B133B">
            <w:pPr>
              <w:rPr>
                <w:rFonts w:ascii="Calibri" w:hAnsi="Calibri" w:cs="Arial"/>
                <w:sz w:val="24"/>
              </w:rPr>
            </w:pPr>
          </w:p>
          <w:p w14:paraId="290D210C" w14:textId="77777777" w:rsidR="00A800D8" w:rsidRPr="008D5CFD" w:rsidRDefault="00A800D8" w:rsidP="005B133B">
            <w:pPr>
              <w:rPr>
                <w:rFonts w:ascii="Calibri" w:hAnsi="Calibri" w:cs="Arial"/>
                <w:sz w:val="24"/>
              </w:rPr>
            </w:pPr>
          </w:p>
          <w:p w14:paraId="77B99662" w14:textId="77777777" w:rsidR="00A800D8" w:rsidRPr="008D5CFD" w:rsidRDefault="00A800D8" w:rsidP="005B133B">
            <w:pPr>
              <w:rPr>
                <w:rFonts w:ascii="Calibri" w:hAnsi="Calibri" w:cs="Arial"/>
                <w:sz w:val="24"/>
              </w:rPr>
            </w:pPr>
          </w:p>
          <w:p w14:paraId="25CB2351" w14:textId="77777777" w:rsidR="00A800D8" w:rsidRPr="008D5CFD" w:rsidRDefault="00A800D8" w:rsidP="005B133B">
            <w:pPr>
              <w:rPr>
                <w:rFonts w:ascii="Calibri" w:hAnsi="Calibri" w:cs="Arial"/>
                <w:sz w:val="24"/>
              </w:rPr>
            </w:pPr>
          </w:p>
          <w:p w14:paraId="7D169BAF" w14:textId="77777777" w:rsidR="00A800D8" w:rsidRPr="008D5CFD" w:rsidRDefault="00A800D8" w:rsidP="005B133B">
            <w:pPr>
              <w:rPr>
                <w:rFonts w:ascii="Calibri" w:hAnsi="Calibri" w:cs="Arial"/>
                <w:sz w:val="24"/>
              </w:rPr>
            </w:pPr>
          </w:p>
          <w:p w14:paraId="675F90CB" w14:textId="77777777" w:rsidR="00A800D8" w:rsidRPr="008D5CFD" w:rsidRDefault="00A800D8" w:rsidP="005B133B">
            <w:pPr>
              <w:rPr>
                <w:rFonts w:ascii="Calibri" w:hAnsi="Calibri" w:cs="Arial"/>
                <w:sz w:val="24"/>
              </w:rPr>
            </w:pPr>
          </w:p>
          <w:p w14:paraId="58429E47" w14:textId="77777777" w:rsidR="00A800D8" w:rsidRPr="008D5CFD" w:rsidRDefault="00A800D8" w:rsidP="005B133B">
            <w:pPr>
              <w:rPr>
                <w:rFonts w:ascii="Calibri" w:hAnsi="Calibri" w:cs="Arial"/>
                <w:sz w:val="24"/>
              </w:rPr>
            </w:pPr>
          </w:p>
          <w:p w14:paraId="0EBEDE2A" w14:textId="77777777" w:rsidR="00A800D8" w:rsidRPr="008D5CFD" w:rsidRDefault="00A800D8" w:rsidP="005B133B">
            <w:pPr>
              <w:rPr>
                <w:rFonts w:ascii="Calibri" w:hAnsi="Calibri" w:cs="Arial"/>
                <w:sz w:val="24"/>
              </w:rPr>
            </w:pPr>
          </w:p>
          <w:p w14:paraId="07F76DA1" w14:textId="77777777" w:rsidR="00A800D8" w:rsidRDefault="00A800D8" w:rsidP="005B133B">
            <w:pPr>
              <w:rPr>
                <w:rFonts w:ascii="Calibri" w:hAnsi="Calibri" w:cs="Arial"/>
                <w:sz w:val="24"/>
              </w:rPr>
            </w:pPr>
          </w:p>
          <w:p w14:paraId="4B5DB8F7" w14:textId="326FD97D" w:rsidR="00A800D8" w:rsidRPr="008D5CFD" w:rsidRDefault="00A800D8" w:rsidP="005B133B">
            <w:pPr>
              <w:rPr>
                <w:rFonts w:ascii="Calibri" w:hAnsi="Calibri" w:cs="Arial"/>
                <w:sz w:val="24"/>
              </w:rPr>
            </w:pPr>
            <w:r w:rsidRPr="008D5CFD">
              <w:rPr>
                <w:rFonts w:ascii="Calibri" w:hAnsi="Calibri" w:cs="Arial"/>
                <w:sz w:val="24"/>
              </w:rPr>
              <w:t>Section 30</w:t>
            </w:r>
          </w:p>
          <w:p w14:paraId="658DAF0C" w14:textId="77777777" w:rsidR="00A800D8" w:rsidRPr="008D5CFD" w:rsidRDefault="00A800D8" w:rsidP="005B133B">
            <w:pPr>
              <w:rPr>
                <w:rFonts w:ascii="Calibri" w:hAnsi="Calibri" w:cs="Arial"/>
                <w:sz w:val="24"/>
              </w:rPr>
            </w:pPr>
            <w:r w:rsidRPr="008D5CFD">
              <w:rPr>
                <w:rFonts w:ascii="Calibri" w:hAnsi="Calibri" w:cs="Arial"/>
                <w:sz w:val="24"/>
              </w:rPr>
              <w:t>Delegation of management and control functions</w:t>
            </w:r>
          </w:p>
          <w:p w14:paraId="07815EF7" w14:textId="77777777" w:rsidR="00A800D8" w:rsidRPr="008D5CFD" w:rsidRDefault="00A800D8" w:rsidP="005B133B">
            <w:pPr>
              <w:rPr>
                <w:rFonts w:ascii="Calibri" w:hAnsi="Calibri" w:cs="Arial"/>
                <w:sz w:val="24"/>
              </w:rPr>
            </w:pPr>
          </w:p>
          <w:p w14:paraId="5F3B8667" w14:textId="77777777" w:rsidR="00A800D8" w:rsidRDefault="00A800D8" w:rsidP="005B133B">
            <w:pPr>
              <w:rPr>
                <w:rFonts w:ascii="Calibri" w:hAnsi="Calibri" w:cs="Arial"/>
                <w:sz w:val="24"/>
              </w:rPr>
            </w:pPr>
          </w:p>
          <w:p w14:paraId="2815206D" w14:textId="77777777" w:rsidR="00A800D8" w:rsidRDefault="00A800D8" w:rsidP="005B133B">
            <w:pPr>
              <w:rPr>
                <w:rFonts w:ascii="Calibri" w:hAnsi="Calibri" w:cs="Arial"/>
                <w:sz w:val="24"/>
              </w:rPr>
            </w:pPr>
          </w:p>
          <w:p w14:paraId="0924EA06" w14:textId="08F7DE3B" w:rsidR="00A800D8" w:rsidRPr="008D5CFD" w:rsidRDefault="00A800D8" w:rsidP="005B133B">
            <w:pPr>
              <w:rPr>
                <w:rFonts w:ascii="Calibri" w:hAnsi="Calibri" w:cs="Arial"/>
                <w:sz w:val="24"/>
              </w:rPr>
            </w:pPr>
            <w:r w:rsidRPr="008D5CFD">
              <w:rPr>
                <w:rFonts w:ascii="Calibri" w:hAnsi="Calibri" w:cs="Arial"/>
                <w:sz w:val="24"/>
              </w:rPr>
              <w:t>Section 31</w:t>
            </w:r>
          </w:p>
          <w:p w14:paraId="683295CF" w14:textId="77777777" w:rsidR="00A800D8" w:rsidRPr="008D5CFD" w:rsidRDefault="00A800D8" w:rsidP="005B133B">
            <w:pPr>
              <w:rPr>
                <w:rFonts w:ascii="Calibri" w:hAnsi="Calibri" w:cs="Arial"/>
                <w:sz w:val="24"/>
              </w:rPr>
            </w:pPr>
          </w:p>
          <w:p w14:paraId="77AA17CA" w14:textId="77777777" w:rsidR="00A800D8" w:rsidRPr="008D5CFD" w:rsidRDefault="00A800D8" w:rsidP="005B133B">
            <w:pPr>
              <w:rPr>
                <w:rFonts w:ascii="Calibri" w:hAnsi="Calibri" w:cs="Arial"/>
                <w:sz w:val="24"/>
              </w:rPr>
            </w:pPr>
          </w:p>
          <w:p w14:paraId="535F884F" w14:textId="77777777" w:rsidR="00A800D8" w:rsidRPr="008D5CFD" w:rsidRDefault="00A800D8" w:rsidP="005B133B">
            <w:pPr>
              <w:rPr>
                <w:rFonts w:ascii="Calibri" w:hAnsi="Calibri" w:cs="Arial"/>
                <w:sz w:val="24"/>
              </w:rPr>
            </w:pPr>
          </w:p>
          <w:p w14:paraId="12FD1625" w14:textId="77777777" w:rsidR="00A800D8" w:rsidRPr="008D5CFD" w:rsidRDefault="00A800D8" w:rsidP="005B133B">
            <w:pPr>
              <w:rPr>
                <w:rFonts w:ascii="Calibri" w:hAnsi="Calibri" w:cs="Arial"/>
                <w:sz w:val="24"/>
              </w:rPr>
            </w:pPr>
          </w:p>
          <w:p w14:paraId="12473BF2" w14:textId="77777777" w:rsidR="00A800D8" w:rsidRPr="008D5CFD" w:rsidRDefault="00A800D8" w:rsidP="005B133B">
            <w:pPr>
              <w:rPr>
                <w:rFonts w:ascii="Calibri" w:hAnsi="Calibri" w:cs="Arial"/>
                <w:sz w:val="24"/>
              </w:rPr>
            </w:pPr>
          </w:p>
          <w:p w14:paraId="51D376B9" w14:textId="77777777" w:rsidR="00A800D8" w:rsidRPr="008D5CFD" w:rsidRDefault="00A800D8" w:rsidP="005B133B">
            <w:pPr>
              <w:rPr>
                <w:rFonts w:ascii="Calibri" w:hAnsi="Calibri" w:cs="Arial"/>
                <w:sz w:val="24"/>
              </w:rPr>
            </w:pPr>
          </w:p>
          <w:p w14:paraId="387E7FCF" w14:textId="77777777" w:rsidR="00A800D8" w:rsidRPr="008D5CFD" w:rsidRDefault="00A800D8" w:rsidP="005B133B">
            <w:pPr>
              <w:rPr>
                <w:rFonts w:ascii="Calibri" w:hAnsi="Calibri" w:cs="Arial"/>
                <w:sz w:val="24"/>
              </w:rPr>
            </w:pPr>
          </w:p>
          <w:p w14:paraId="67F9F18D" w14:textId="77777777" w:rsidR="00A800D8" w:rsidRPr="008D5CFD" w:rsidRDefault="00A800D8" w:rsidP="005B133B">
            <w:pPr>
              <w:rPr>
                <w:rFonts w:ascii="Calibri" w:hAnsi="Calibri" w:cs="Arial"/>
                <w:sz w:val="24"/>
              </w:rPr>
            </w:pPr>
          </w:p>
          <w:p w14:paraId="7AB4A7C1" w14:textId="77777777" w:rsidR="00A800D8" w:rsidRPr="008D5CFD" w:rsidRDefault="00A800D8" w:rsidP="005B133B">
            <w:pPr>
              <w:rPr>
                <w:rFonts w:ascii="Calibri" w:hAnsi="Calibri" w:cs="Arial"/>
                <w:sz w:val="24"/>
              </w:rPr>
            </w:pPr>
          </w:p>
          <w:p w14:paraId="7F9488C7" w14:textId="77777777" w:rsidR="00A800D8" w:rsidRPr="008D5CFD" w:rsidRDefault="00A800D8" w:rsidP="005B133B">
            <w:pPr>
              <w:rPr>
                <w:rFonts w:ascii="Calibri" w:hAnsi="Calibri" w:cs="Arial"/>
                <w:sz w:val="24"/>
              </w:rPr>
            </w:pPr>
          </w:p>
          <w:p w14:paraId="00502944" w14:textId="77777777" w:rsidR="00A800D8" w:rsidRPr="008D5CFD" w:rsidRDefault="00A800D8" w:rsidP="005B133B">
            <w:pPr>
              <w:rPr>
                <w:rFonts w:ascii="Calibri" w:hAnsi="Calibri" w:cs="Arial"/>
                <w:sz w:val="24"/>
              </w:rPr>
            </w:pPr>
          </w:p>
          <w:p w14:paraId="1E4BC9A1" w14:textId="77777777" w:rsidR="00A800D8" w:rsidRPr="008D5CFD" w:rsidRDefault="00A800D8" w:rsidP="005B133B">
            <w:pPr>
              <w:rPr>
                <w:rFonts w:ascii="Calibri" w:hAnsi="Calibri" w:cs="Arial"/>
                <w:sz w:val="24"/>
              </w:rPr>
            </w:pPr>
          </w:p>
          <w:p w14:paraId="5C82FA9B" w14:textId="77777777" w:rsidR="00A800D8" w:rsidRPr="008D5CFD" w:rsidRDefault="00A800D8" w:rsidP="005B133B">
            <w:pPr>
              <w:rPr>
                <w:rFonts w:ascii="Calibri" w:hAnsi="Calibri" w:cs="Arial"/>
                <w:sz w:val="24"/>
              </w:rPr>
            </w:pPr>
          </w:p>
          <w:p w14:paraId="27D501B9" w14:textId="77777777" w:rsidR="00A800D8" w:rsidRPr="008D5CFD" w:rsidRDefault="00A800D8" w:rsidP="005B133B">
            <w:pPr>
              <w:rPr>
                <w:rFonts w:ascii="Calibri" w:hAnsi="Calibri" w:cs="Arial"/>
                <w:sz w:val="24"/>
              </w:rPr>
            </w:pPr>
          </w:p>
          <w:p w14:paraId="31AFE1E3" w14:textId="4D89C8C4" w:rsidR="00A800D8" w:rsidRPr="008D5CFD" w:rsidRDefault="00A800D8" w:rsidP="005B133B">
            <w:pPr>
              <w:rPr>
                <w:rFonts w:ascii="Calibri" w:hAnsi="Calibri" w:cs="Arial"/>
                <w:sz w:val="24"/>
              </w:rPr>
            </w:pPr>
            <w:r w:rsidRPr="008D5CFD">
              <w:rPr>
                <w:rFonts w:ascii="Calibri" w:hAnsi="Calibri" w:cs="Arial"/>
                <w:sz w:val="24"/>
              </w:rPr>
              <w:t>Section 32(9)</w:t>
            </w:r>
          </w:p>
          <w:p w14:paraId="43798679" w14:textId="77777777" w:rsidR="00A800D8" w:rsidRPr="008D5CFD" w:rsidRDefault="00A800D8" w:rsidP="005B133B">
            <w:pPr>
              <w:rPr>
                <w:rFonts w:ascii="Calibri" w:hAnsi="Calibri" w:cs="Arial"/>
                <w:sz w:val="24"/>
              </w:rPr>
            </w:pPr>
          </w:p>
          <w:p w14:paraId="2828B4F6" w14:textId="77777777" w:rsidR="00A800D8" w:rsidRPr="008D5CFD" w:rsidRDefault="00A800D8" w:rsidP="005B133B">
            <w:pPr>
              <w:rPr>
                <w:rFonts w:ascii="Calibri" w:hAnsi="Calibri" w:cs="Arial"/>
                <w:sz w:val="24"/>
              </w:rPr>
            </w:pPr>
          </w:p>
          <w:p w14:paraId="3CB31583" w14:textId="77777777" w:rsidR="00A800D8" w:rsidRPr="008D5CFD" w:rsidRDefault="00A800D8" w:rsidP="005B133B">
            <w:pPr>
              <w:rPr>
                <w:rFonts w:ascii="Calibri" w:hAnsi="Calibri" w:cs="Arial"/>
                <w:sz w:val="24"/>
              </w:rPr>
            </w:pPr>
          </w:p>
          <w:p w14:paraId="3D4D1BC1" w14:textId="77777777" w:rsidR="00A800D8" w:rsidRPr="008D5CFD" w:rsidRDefault="00A800D8" w:rsidP="005B133B">
            <w:pPr>
              <w:rPr>
                <w:rFonts w:ascii="Calibri" w:hAnsi="Calibri" w:cs="Arial"/>
                <w:sz w:val="24"/>
              </w:rPr>
            </w:pPr>
            <w:r w:rsidRPr="008D5CFD">
              <w:rPr>
                <w:rFonts w:ascii="Calibri" w:hAnsi="Calibri" w:cs="Arial"/>
                <w:sz w:val="24"/>
              </w:rPr>
              <w:t>Section 33(1)(e)</w:t>
            </w:r>
          </w:p>
          <w:p w14:paraId="522E9ACC" w14:textId="77777777" w:rsidR="00A800D8" w:rsidRPr="008D5CFD" w:rsidRDefault="00A800D8" w:rsidP="005B133B">
            <w:pPr>
              <w:rPr>
                <w:rFonts w:ascii="Calibri" w:hAnsi="Calibri" w:cs="Arial"/>
                <w:sz w:val="24"/>
              </w:rPr>
            </w:pPr>
          </w:p>
          <w:p w14:paraId="60F55C39" w14:textId="77777777" w:rsidR="00A800D8" w:rsidRPr="008D5CFD" w:rsidRDefault="00A800D8" w:rsidP="005B133B">
            <w:pPr>
              <w:rPr>
                <w:rFonts w:ascii="Calibri" w:hAnsi="Calibri" w:cs="Arial"/>
                <w:sz w:val="24"/>
              </w:rPr>
            </w:pPr>
          </w:p>
          <w:p w14:paraId="3FDFE7ED" w14:textId="77777777" w:rsidR="00A800D8" w:rsidRPr="008D5CFD" w:rsidRDefault="00A800D8" w:rsidP="005B133B">
            <w:pPr>
              <w:rPr>
                <w:rFonts w:ascii="Calibri" w:hAnsi="Calibri" w:cs="Arial"/>
                <w:sz w:val="24"/>
              </w:rPr>
            </w:pPr>
          </w:p>
          <w:p w14:paraId="0BD1342F" w14:textId="77777777" w:rsidR="00A800D8" w:rsidRPr="008D5CFD" w:rsidRDefault="00A800D8" w:rsidP="005B133B">
            <w:pPr>
              <w:rPr>
                <w:rFonts w:ascii="Calibri" w:hAnsi="Calibri" w:cs="Arial"/>
                <w:sz w:val="24"/>
              </w:rPr>
            </w:pPr>
          </w:p>
          <w:p w14:paraId="394B3333" w14:textId="77777777" w:rsidR="00A800D8" w:rsidRDefault="00A800D8" w:rsidP="005B133B">
            <w:pPr>
              <w:rPr>
                <w:rFonts w:ascii="Calibri" w:hAnsi="Calibri" w:cs="Arial"/>
                <w:sz w:val="24"/>
              </w:rPr>
            </w:pPr>
          </w:p>
          <w:p w14:paraId="0D654E8A" w14:textId="77777777" w:rsidR="00B8731C" w:rsidRDefault="00B8731C" w:rsidP="005B133B">
            <w:pPr>
              <w:rPr>
                <w:rFonts w:ascii="Calibri" w:hAnsi="Calibri" w:cs="Arial"/>
                <w:sz w:val="24"/>
              </w:rPr>
            </w:pPr>
          </w:p>
          <w:p w14:paraId="54C5BFF6" w14:textId="77777777" w:rsidR="00B8731C" w:rsidRDefault="00B8731C" w:rsidP="005B133B">
            <w:pPr>
              <w:rPr>
                <w:rFonts w:ascii="Calibri" w:hAnsi="Calibri" w:cs="Arial"/>
                <w:sz w:val="24"/>
              </w:rPr>
            </w:pPr>
          </w:p>
          <w:p w14:paraId="68DF6D98" w14:textId="31A2FCB7" w:rsidR="00A800D8" w:rsidRPr="008D5CFD" w:rsidRDefault="00A800D8" w:rsidP="005B133B">
            <w:pPr>
              <w:rPr>
                <w:rFonts w:ascii="Calibri" w:hAnsi="Calibri" w:cs="Arial"/>
                <w:sz w:val="24"/>
              </w:rPr>
            </w:pPr>
            <w:r w:rsidRPr="008D5CFD">
              <w:rPr>
                <w:rFonts w:ascii="Calibri" w:hAnsi="Calibri" w:cs="Arial"/>
                <w:sz w:val="24"/>
              </w:rPr>
              <w:t>Section 64(9)(a)</w:t>
            </w:r>
          </w:p>
          <w:p w14:paraId="5E7C601F" w14:textId="77777777" w:rsidR="00A800D8" w:rsidRPr="008D5CFD" w:rsidRDefault="00A800D8" w:rsidP="005B133B">
            <w:pPr>
              <w:rPr>
                <w:rFonts w:ascii="Calibri" w:hAnsi="Calibri" w:cs="Arial"/>
                <w:sz w:val="24"/>
              </w:rPr>
            </w:pPr>
          </w:p>
          <w:p w14:paraId="6480616C" w14:textId="77777777" w:rsidR="00A800D8" w:rsidRPr="008D5CFD" w:rsidRDefault="00A800D8" w:rsidP="005B133B">
            <w:pPr>
              <w:rPr>
                <w:rFonts w:ascii="Calibri" w:hAnsi="Calibri" w:cs="Arial"/>
                <w:sz w:val="24"/>
              </w:rPr>
            </w:pPr>
          </w:p>
          <w:p w14:paraId="5EEFD315" w14:textId="77777777" w:rsidR="00B8731C" w:rsidRDefault="00B8731C" w:rsidP="005B133B">
            <w:pPr>
              <w:rPr>
                <w:rFonts w:ascii="Calibri" w:hAnsi="Calibri" w:cs="Arial"/>
                <w:sz w:val="24"/>
              </w:rPr>
            </w:pPr>
          </w:p>
          <w:p w14:paraId="1E7D3AD1" w14:textId="77777777" w:rsidR="00B8731C" w:rsidRDefault="00B8731C" w:rsidP="005B133B">
            <w:pPr>
              <w:rPr>
                <w:rFonts w:ascii="Calibri" w:hAnsi="Calibri" w:cs="Arial"/>
                <w:sz w:val="24"/>
              </w:rPr>
            </w:pPr>
          </w:p>
          <w:p w14:paraId="2C26561C" w14:textId="7503666C" w:rsidR="00A800D8" w:rsidRPr="008D5CFD" w:rsidRDefault="00A800D8" w:rsidP="005B133B">
            <w:pPr>
              <w:rPr>
                <w:rFonts w:ascii="Calibri" w:hAnsi="Calibri" w:cs="Arial"/>
                <w:sz w:val="24"/>
              </w:rPr>
            </w:pPr>
            <w:r w:rsidRPr="008D5CFD">
              <w:rPr>
                <w:rFonts w:ascii="Calibri" w:hAnsi="Calibri" w:cs="Arial"/>
                <w:sz w:val="24"/>
              </w:rPr>
              <w:t>Section 79(4)</w:t>
            </w:r>
          </w:p>
          <w:p w14:paraId="63460C13" w14:textId="77777777" w:rsidR="00A800D8" w:rsidRDefault="00A800D8" w:rsidP="005B133B">
            <w:pPr>
              <w:rPr>
                <w:rFonts w:ascii="Calibri" w:hAnsi="Calibri" w:cs="Arial"/>
                <w:sz w:val="24"/>
              </w:rPr>
            </w:pPr>
          </w:p>
          <w:p w14:paraId="17A71D66" w14:textId="6550AE92" w:rsidR="00A800D8" w:rsidRPr="008D5CFD" w:rsidRDefault="00A800D8" w:rsidP="005B133B">
            <w:pPr>
              <w:rPr>
                <w:rFonts w:ascii="Calibri" w:hAnsi="Calibri" w:cs="Arial"/>
                <w:sz w:val="24"/>
              </w:rPr>
            </w:pPr>
            <w:r w:rsidRPr="008D5CFD">
              <w:rPr>
                <w:rFonts w:ascii="Calibri" w:hAnsi="Calibri" w:cs="Arial"/>
                <w:sz w:val="24"/>
              </w:rPr>
              <w:t>Section 97 and 98</w:t>
            </w:r>
          </w:p>
          <w:p w14:paraId="011F7D5E" w14:textId="77777777" w:rsidR="00A800D8" w:rsidRPr="008D5CFD" w:rsidRDefault="00A800D8" w:rsidP="005B133B">
            <w:pPr>
              <w:rPr>
                <w:rFonts w:ascii="Calibri" w:hAnsi="Calibri" w:cs="Arial"/>
                <w:sz w:val="24"/>
              </w:rPr>
            </w:pPr>
          </w:p>
          <w:p w14:paraId="3019322D" w14:textId="77777777" w:rsidR="00A800D8" w:rsidRPr="008D5CFD" w:rsidRDefault="00A800D8" w:rsidP="005B133B">
            <w:pPr>
              <w:rPr>
                <w:rFonts w:ascii="Calibri" w:hAnsi="Calibri" w:cs="Arial"/>
                <w:sz w:val="24"/>
              </w:rPr>
            </w:pPr>
          </w:p>
          <w:p w14:paraId="51A6B693" w14:textId="77777777" w:rsidR="00A800D8" w:rsidRPr="008D5CFD" w:rsidRDefault="00A800D8" w:rsidP="005B133B">
            <w:pPr>
              <w:rPr>
                <w:rFonts w:ascii="Calibri" w:hAnsi="Calibri" w:cs="Arial"/>
                <w:sz w:val="24"/>
              </w:rPr>
            </w:pPr>
          </w:p>
          <w:p w14:paraId="03B6FCA9" w14:textId="77777777" w:rsidR="00A800D8" w:rsidRPr="008D5CFD" w:rsidRDefault="00A800D8" w:rsidP="005B133B">
            <w:pPr>
              <w:rPr>
                <w:rFonts w:ascii="Calibri" w:hAnsi="Calibri" w:cs="Arial"/>
                <w:sz w:val="24"/>
              </w:rPr>
            </w:pPr>
          </w:p>
          <w:p w14:paraId="1E0793B2" w14:textId="77777777" w:rsidR="00A800D8" w:rsidRPr="008D5CFD" w:rsidRDefault="00A800D8" w:rsidP="005B133B">
            <w:pPr>
              <w:rPr>
                <w:rFonts w:ascii="Calibri" w:hAnsi="Calibri" w:cs="Arial"/>
                <w:sz w:val="24"/>
              </w:rPr>
            </w:pPr>
          </w:p>
          <w:p w14:paraId="7D25C42F" w14:textId="1A79D468" w:rsidR="00A800D8" w:rsidRPr="008D5CFD" w:rsidRDefault="00A800D8" w:rsidP="005B133B">
            <w:pPr>
              <w:rPr>
                <w:rFonts w:ascii="Calibri" w:hAnsi="Calibri" w:cs="Arial"/>
                <w:sz w:val="24"/>
              </w:rPr>
            </w:pPr>
            <w:r w:rsidRPr="008D5CFD">
              <w:rPr>
                <w:rFonts w:ascii="Calibri" w:hAnsi="Calibri" w:cs="Arial"/>
                <w:sz w:val="24"/>
              </w:rPr>
              <w:t>Section 99</w:t>
            </w:r>
          </w:p>
          <w:p w14:paraId="2CE430D1" w14:textId="77777777" w:rsidR="00A800D8" w:rsidRPr="008D5CFD" w:rsidRDefault="00A800D8" w:rsidP="005B133B">
            <w:pPr>
              <w:rPr>
                <w:rFonts w:ascii="Calibri" w:hAnsi="Calibri" w:cs="Arial"/>
                <w:sz w:val="24"/>
              </w:rPr>
            </w:pPr>
          </w:p>
          <w:p w14:paraId="49319193" w14:textId="77777777" w:rsidR="00A800D8" w:rsidRPr="008D5CFD" w:rsidRDefault="00A800D8" w:rsidP="005B133B">
            <w:pPr>
              <w:rPr>
                <w:rFonts w:ascii="Calibri" w:hAnsi="Calibri" w:cs="Arial"/>
                <w:sz w:val="24"/>
              </w:rPr>
            </w:pPr>
          </w:p>
          <w:p w14:paraId="0DAA9177" w14:textId="77777777" w:rsidR="00A800D8" w:rsidRPr="008D5CFD" w:rsidRDefault="00A800D8" w:rsidP="005B133B">
            <w:pPr>
              <w:rPr>
                <w:rFonts w:ascii="Calibri" w:hAnsi="Calibri" w:cs="Arial"/>
                <w:sz w:val="24"/>
              </w:rPr>
            </w:pPr>
          </w:p>
          <w:p w14:paraId="639B4CA2" w14:textId="77777777" w:rsidR="00A800D8" w:rsidRPr="008D5CFD" w:rsidRDefault="00A800D8" w:rsidP="005B133B">
            <w:pPr>
              <w:rPr>
                <w:rFonts w:ascii="Calibri" w:hAnsi="Calibri" w:cs="Arial"/>
                <w:sz w:val="24"/>
              </w:rPr>
            </w:pPr>
          </w:p>
          <w:p w14:paraId="57D7CADA" w14:textId="14F7F3FC" w:rsidR="00A800D8" w:rsidRDefault="00A800D8" w:rsidP="005B133B">
            <w:pPr>
              <w:rPr>
                <w:rFonts w:ascii="Calibri" w:hAnsi="Calibri" w:cs="Arial"/>
                <w:sz w:val="24"/>
              </w:rPr>
            </w:pPr>
          </w:p>
          <w:p w14:paraId="0757D6D4" w14:textId="77777777" w:rsidR="00A800D8" w:rsidRPr="008D5CFD" w:rsidRDefault="00A800D8" w:rsidP="005B133B">
            <w:pPr>
              <w:rPr>
                <w:rFonts w:ascii="Calibri" w:hAnsi="Calibri" w:cs="Arial"/>
                <w:sz w:val="24"/>
              </w:rPr>
            </w:pPr>
          </w:p>
          <w:p w14:paraId="0C8DEB89" w14:textId="77777777" w:rsidR="00A800D8" w:rsidRPr="008D5CFD" w:rsidRDefault="00A800D8" w:rsidP="005B133B">
            <w:pPr>
              <w:rPr>
                <w:rFonts w:ascii="Calibri" w:hAnsi="Calibri" w:cs="Arial"/>
                <w:sz w:val="24"/>
              </w:rPr>
            </w:pPr>
          </w:p>
          <w:p w14:paraId="3B918E2F" w14:textId="77777777" w:rsidR="00A800D8" w:rsidRPr="008D5CFD" w:rsidRDefault="00A800D8" w:rsidP="005B133B">
            <w:pPr>
              <w:rPr>
                <w:rFonts w:ascii="Calibri" w:hAnsi="Calibri" w:cs="Arial"/>
                <w:sz w:val="24"/>
              </w:rPr>
            </w:pPr>
          </w:p>
          <w:p w14:paraId="5A086961" w14:textId="77777777" w:rsidR="00A800D8" w:rsidRPr="008D5CFD" w:rsidRDefault="00A800D8" w:rsidP="005B133B">
            <w:pPr>
              <w:rPr>
                <w:rFonts w:ascii="Calibri" w:hAnsi="Calibri" w:cs="Arial"/>
                <w:sz w:val="24"/>
              </w:rPr>
            </w:pPr>
          </w:p>
          <w:p w14:paraId="0FBF92F2" w14:textId="77777777" w:rsidR="00A800D8" w:rsidRPr="008D5CFD" w:rsidRDefault="00A800D8" w:rsidP="005B133B">
            <w:pPr>
              <w:rPr>
                <w:rFonts w:ascii="Calibri" w:hAnsi="Calibri" w:cs="Arial"/>
                <w:sz w:val="24"/>
              </w:rPr>
            </w:pPr>
          </w:p>
          <w:p w14:paraId="4375062F" w14:textId="77777777" w:rsidR="00A800D8" w:rsidRPr="008D5CFD" w:rsidRDefault="00A800D8" w:rsidP="005B133B">
            <w:pPr>
              <w:rPr>
                <w:rFonts w:ascii="Calibri" w:hAnsi="Calibri" w:cs="Arial"/>
                <w:sz w:val="24"/>
              </w:rPr>
            </w:pPr>
          </w:p>
          <w:p w14:paraId="7B7B22B8" w14:textId="77777777" w:rsidR="00A800D8" w:rsidRPr="008D5CFD" w:rsidRDefault="00A800D8" w:rsidP="005B133B">
            <w:pPr>
              <w:rPr>
                <w:rFonts w:ascii="Calibri" w:hAnsi="Calibri" w:cs="Arial"/>
                <w:sz w:val="24"/>
              </w:rPr>
            </w:pPr>
          </w:p>
          <w:p w14:paraId="3DEFF164" w14:textId="6AB7674F" w:rsidR="00A800D8" w:rsidRPr="008D5CFD" w:rsidRDefault="00A800D8" w:rsidP="005B133B">
            <w:pPr>
              <w:rPr>
                <w:rFonts w:ascii="Calibri" w:hAnsi="Calibri" w:cs="Arial"/>
                <w:sz w:val="24"/>
              </w:rPr>
            </w:pPr>
            <w:r w:rsidRPr="008D5CFD">
              <w:rPr>
                <w:rFonts w:ascii="Calibri" w:hAnsi="Calibri" w:cs="Arial"/>
                <w:sz w:val="24"/>
              </w:rPr>
              <w:t xml:space="preserve">Section 7 and Schedule 1 partially un-commenced  - </w:t>
            </w:r>
          </w:p>
          <w:p w14:paraId="390C6F9B" w14:textId="77777777" w:rsidR="00A800D8" w:rsidRPr="008D5CFD" w:rsidRDefault="00A800D8" w:rsidP="005B133B">
            <w:pPr>
              <w:rPr>
                <w:rFonts w:ascii="Calibri" w:hAnsi="Calibri" w:cs="Arial"/>
                <w:sz w:val="24"/>
              </w:rPr>
            </w:pPr>
            <w:r w:rsidRPr="008D5CFD">
              <w:rPr>
                <w:rFonts w:ascii="Calibri" w:hAnsi="Calibri" w:cs="Arial"/>
                <w:sz w:val="24"/>
              </w:rPr>
              <w:t>Repeals</w:t>
            </w:r>
          </w:p>
          <w:p w14:paraId="2D2264D4" w14:textId="77777777" w:rsidR="00A800D8" w:rsidRPr="008D5CFD" w:rsidRDefault="00A800D8" w:rsidP="005B133B">
            <w:pPr>
              <w:rPr>
                <w:rFonts w:ascii="Calibri" w:hAnsi="Calibri" w:cs="Arial"/>
                <w:sz w:val="24"/>
              </w:rPr>
            </w:pPr>
          </w:p>
          <w:p w14:paraId="1B82D27D" w14:textId="77777777" w:rsidR="00A800D8" w:rsidRPr="008D5CFD" w:rsidRDefault="00A800D8" w:rsidP="005B133B">
            <w:pPr>
              <w:rPr>
                <w:rFonts w:ascii="Calibri" w:hAnsi="Calibri" w:cs="Arial"/>
                <w:sz w:val="24"/>
              </w:rPr>
            </w:pPr>
            <w:r w:rsidRPr="008D5CFD">
              <w:rPr>
                <w:rFonts w:ascii="Calibri" w:hAnsi="Calibri" w:cs="Arial"/>
                <w:sz w:val="24"/>
              </w:rPr>
              <w:t>Section 8 and Schedule 2 partially un-commenced -</w:t>
            </w:r>
          </w:p>
          <w:p w14:paraId="04D1C51A" w14:textId="77777777" w:rsidR="00A800D8" w:rsidRPr="008D5CFD" w:rsidRDefault="00A800D8" w:rsidP="005B133B">
            <w:pPr>
              <w:rPr>
                <w:rFonts w:ascii="Calibri" w:hAnsi="Calibri" w:cs="Arial"/>
                <w:sz w:val="24"/>
              </w:rPr>
            </w:pPr>
            <w:r w:rsidRPr="008D5CFD">
              <w:rPr>
                <w:rFonts w:ascii="Calibri" w:hAnsi="Calibri" w:cs="Arial"/>
                <w:sz w:val="24"/>
              </w:rPr>
              <w:t>Amendment of other enactments</w:t>
            </w:r>
          </w:p>
          <w:p w14:paraId="281A4B7E" w14:textId="77777777" w:rsidR="00A800D8" w:rsidRPr="008D5CFD" w:rsidRDefault="00A800D8" w:rsidP="00B94C21">
            <w:pPr>
              <w:rPr>
                <w:rFonts w:ascii="Calibri" w:hAnsi="Calibri" w:cs="Arial"/>
                <w:sz w:val="24"/>
              </w:rPr>
            </w:pPr>
          </w:p>
        </w:tc>
        <w:tc>
          <w:tcPr>
            <w:tcW w:w="3341" w:type="dxa"/>
          </w:tcPr>
          <w:p w14:paraId="083DFD6A" w14:textId="71BAE7B2" w:rsidR="00A800D8" w:rsidRPr="008D5CFD" w:rsidRDefault="00A800D8" w:rsidP="005B133B">
            <w:pPr>
              <w:rPr>
                <w:rFonts w:ascii="Calibri" w:hAnsi="Calibri" w:cs="Arial"/>
                <w:sz w:val="24"/>
              </w:rPr>
            </w:pPr>
            <w:r w:rsidRPr="008D5CFD">
              <w:rPr>
                <w:rFonts w:ascii="Calibri" w:hAnsi="Calibri" w:cs="Arial"/>
                <w:sz w:val="24"/>
              </w:rPr>
              <w:lastRenderedPageBreak/>
              <w:t>Some repeals provided for in section 7</w:t>
            </w:r>
            <w:r w:rsidR="00406789">
              <w:rPr>
                <w:rFonts w:ascii="Calibri" w:hAnsi="Calibri" w:cs="Arial"/>
                <w:sz w:val="24"/>
              </w:rPr>
              <w:t>,</w:t>
            </w:r>
            <w:r w:rsidRPr="008D5CFD">
              <w:rPr>
                <w:rFonts w:ascii="Calibri" w:hAnsi="Calibri" w:cs="Arial"/>
                <w:sz w:val="24"/>
              </w:rPr>
              <w:t xml:space="preserve"> </w:t>
            </w:r>
            <w:r w:rsidR="00E37F3D">
              <w:rPr>
                <w:rFonts w:ascii="Calibri" w:hAnsi="Calibri" w:cs="Arial"/>
                <w:sz w:val="24"/>
              </w:rPr>
              <w:t>which</w:t>
            </w:r>
            <w:r w:rsidRPr="008D5CFD">
              <w:rPr>
                <w:rFonts w:ascii="Calibri" w:hAnsi="Calibri" w:cs="Arial"/>
                <w:sz w:val="24"/>
              </w:rPr>
              <w:t xml:space="preserve"> are dependent on </w:t>
            </w:r>
            <w:proofErr w:type="spellStart"/>
            <w:r w:rsidRPr="008D5CFD">
              <w:rPr>
                <w:rFonts w:ascii="Calibri" w:hAnsi="Calibri" w:cs="Arial"/>
                <w:sz w:val="24"/>
              </w:rPr>
              <w:t>uncommenced</w:t>
            </w:r>
            <w:proofErr w:type="spellEnd"/>
            <w:r w:rsidRPr="008D5CFD">
              <w:rPr>
                <w:rFonts w:ascii="Calibri" w:hAnsi="Calibri" w:cs="Arial"/>
                <w:sz w:val="24"/>
              </w:rPr>
              <w:t xml:space="preserve"> provisions</w:t>
            </w:r>
            <w:r w:rsidR="00406789">
              <w:rPr>
                <w:rFonts w:ascii="Calibri" w:hAnsi="Calibri" w:cs="Arial"/>
                <w:sz w:val="24"/>
              </w:rPr>
              <w:t>,</w:t>
            </w:r>
            <w:r w:rsidRPr="008D5CFD">
              <w:rPr>
                <w:rFonts w:ascii="Calibri" w:hAnsi="Calibri" w:cs="Arial"/>
                <w:sz w:val="24"/>
              </w:rPr>
              <w:t xml:space="preserve"> are not commenced.</w:t>
            </w:r>
          </w:p>
          <w:p w14:paraId="4D2F9084" w14:textId="77777777" w:rsidR="00A800D8" w:rsidRPr="008D5CFD" w:rsidRDefault="00A800D8" w:rsidP="005B133B">
            <w:pPr>
              <w:rPr>
                <w:rFonts w:ascii="Calibri" w:hAnsi="Calibri" w:cs="Arial"/>
                <w:sz w:val="24"/>
              </w:rPr>
            </w:pPr>
          </w:p>
          <w:p w14:paraId="34C7FCF5" w14:textId="54938DAA" w:rsidR="00A800D8" w:rsidRPr="008D5CFD" w:rsidRDefault="00A800D8" w:rsidP="005B133B">
            <w:pPr>
              <w:rPr>
                <w:rFonts w:ascii="Calibri" w:hAnsi="Calibri" w:cs="Arial"/>
                <w:sz w:val="24"/>
              </w:rPr>
            </w:pPr>
            <w:r w:rsidRPr="00D95537">
              <w:rPr>
                <w:rFonts w:ascii="Calibri" w:hAnsi="Calibri" w:cs="Arial"/>
                <w:sz w:val="24"/>
              </w:rPr>
              <w:t>It is considered that the current priority is to focus on the delivery of housing under the Government’s programme.</w:t>
            </w:r>
            <w:r w:rsidRPr="008D5CFD">
              <w:rPr>
                <w:rFonts w:ascii="Calibri" w:hAnsi="Calibri" w:cs="Arial"/>
                <w:sz w:val="24"/>
              </w:rPr>
              <w:t xml:space="preserve"> </w:t>
            </w:r>
          </w:p>
          <w:p w14:paraId="77401725" w14:textId="77777777" w:rsidR="00A800D8" w:rsidRPr="008D5CFD" w:rsidRDefault="00A800D8" w:rsidP="005B133B">
            <w:pPr>
              <w:rPr>
                <w:rFonts w:ascii="Calibri" w:hAnsi="Calibri" w:cs="Arial"/>
                <w:sz w:val="24"/>
              </w:rPr>
            </w:pPr>
          </w:p>
          <w:p w14:paraId="70C4E5F7" w14:textId="77777777" w:rsidR="00A800D8" w:rsidRPr="008D5CFD" w:rsidRDefault="00A800D8" w:rsidP="005B133B">
            <w:pPr>
              <w:rPr>
                <w:rFonts w:ascii="Calibri" w:hAnsi="Calibri" w:cs="Arial"/>
                <w:sz w:val="24"/>
              </w:rPr>
            </w:pPr>
            <w:r w:rsidRPr="008D5CFD">
              <w:rPr>
                <w:rFonts w:ascii="Calibri" w:hAnsi="Calibri" w:cs="Arial"/>
                <w:sz w:val="24"/>
              </w:rPr>
              <w:t>An essential provision is dependent on the commencement of section 31 of the 2009 Act concerning rent schemes and charges.</w:t>
            </w:r>
          </w:p>
          <w:p w14:paraId="4CB73AED" w14:textId="77777777" w:rsidR="00A800D8" w:rsidRPr="008D5CFD" w:rsidRDefault="00A800D8" w:rsidP="005B133B">
            <w:pPr>
              <w:rPr>
                <w:rFonts w:ascii="Calibri" w:hAnsi="Calibri" w:cs="Arial"/>
                <w:sz w:val="24"/>
              </w:rPr>
            </w:pPr>
            <w:r w:rsidRPr="008D5CFD">
              <w:rPr>
                <w:rFonts w:ascii="Calibri" w:hAnsi="Calibri" w:cs="Arial"/>
                <w:sz w:val="24"/>
              </w:rPr>
              <w:t xml:space="preserve">Existing statutory authority for LAs to enter into RAS contract </w:t>
            </w:r>
            <w:r w:rsidRPr="008D5CFD">
              <w:rPr>
                <w:rFonts w:ascii="Calibri" w:hAnsi="Calibri" w:cs="Arial"/>
                <w:sz w:val="24"/>
              </w:rPr>
              <w:lastRenderedPageBreak/>
              <w:t>arrangements is provided in section 19 of the 2009 Act.</w:t>
            </w:r>
          </w:p>
          <w:p w14:paraId="2C5C7C3A" w14:textId="77777777" w:rsidR="00A800D8" w:rsidRPr="008D5CFD" w:rsidRDefault="00A800D8" w:rsidP="005B133B">
            <w:pPr>
              <w:rPr>
                <w:rFonts w:ascii="Calibri" w:hAnsi="Calibri" w:cs="Arial"/>
                <w:sz w:val="24"/>
              </w:rPr>
            </w:pPr>
          </w:p>
          <w:p w14:paraId="731686A6" w14:textId="77777777" w:rsidR="00A800D8" w:rsidRPr="008D5CFD" w:rsidRDefault="00A800D8" w:rsidP="005B133B">
            <w:pPr>
              <w:rPr>
                <w:rFonts w:ascii="Calibri" w:hAnsi="Calibri" w:cs="Arial"/>
                <w:sz w:val="24"/>
              </w:rPr>
            </w:pPr>
            <w:r w:rsidRPr="008D5CFD">
              <w:rPr>
                <w:rFonts w:ascii="Calibri" w:hAnsi="Calibri" w:cs="Arial"/>
                <w:sz w:val="24"/>
              </w:rPr>
              <w:t>Commencement of this provision is dependent on the commencement of sections 29 and 31 (Rent schemes and charges and tenancy agreements)</w:t>
            </w:r>
          </w:p>
          <w:p w14:paraId="42387661" w14:textId="77777777" w:rsidR="00A800D8" w:rsidRPr="008D5CFD" w:rsidRDefault="00A800D8" w:rsidP="005B133B">
            <w:pPr>
              <w:rPr>
                <w:rFonts w:ascii="Calibri" w:hAnsi="Calibri" w:cs="Arial"/>
                <w:sz w:val="24"/>
              </w:rPr>
            </w:pPr>
          </w:p>
          <w:p w14:paraId="0B224C9F" w14:textId="77777777" w:rsidR="00A800D8" w:rsidRPr="008D5CFD" w:rsidRDefault="00A800D8" w:rsidP="005B133B">
            <w:pPr>
              <w:rPr>
                <w:rFonts w:ascii="Calibri" w:hAnsi="Calibri" w:cs="Arial"/>
                <w:sz w:val="24"/>
              </w:rPr>
            </w:pPr>
            <w:r w:rsidRPr="008D5CFD">
              <w:rPr>
                <w:rFonts w:ascii="Calibri" w:hAnsi="Calibri" w:cs="Arial"/>
                <w:sz w:val="24"/>
              </w:rPr>
              <w:t>This section concerns a requirement for standardised written tenancy agreements that comply with Schedule 3 of the Act. Housing authorities already require written tenancy agreements in practice - 1980 Regulations provide for minimum requirements for these agreements. Authorities have generally found these adequate for their requirements.</w:t>
            </w:r>
          </w:p>
          <w:p w14:paraId="3DE21A06" w14:textId="77777777" w:rsidR="00A800D8" w:rsidRPr="008D5CFD" w:rsidRDefault="00A800D8" w:rsidP="005B133B">
            <w:pPr>
              <w:rPr>
                <w:rFonts w:ascii="Calibri" w:hAnsi="Calibri" w:cs="Arial"/>
                <w:sz w:val="24"/>
              </w:rPr>
            </w:pPr>
          </w:p>
          <w:p w14:paraId="260D1CBE" w14:textId="77777777" w:rsidR="00A800D8" w:rsidRPr="008D5CFD" w:rsidRDefault="00A800D8" w:rsidP="005B133B">
            <w:pPr>
              <w:rPr>
                <w:rFonts w:ascii="Calibri" w:hAnsi="Calibri" w:cs="Arial"/>
                <w:sz w:val="24"/>
              </w:rPr>
            </w:pPr>
            <w:r w:rsidRPr="008D5CFD">
              <w:rPr>
                <w:rFonts w:ascii="Calibri" w:hAnsi="Calibri" w:cs="Arial"/>
                <w:sz w:val="24"/>
              </w:rPr>
              <w:t>Commencement of this provision is partially dependent on the commencement of section 31 (Rent schemes and charges)</w:t>
            </w:r>
          </w:p>
          <w:p w14:paraId="60146037" w14:textId="77777777" w:rsidR="00A800D8" w:rsidRPr="008D5CFD" w:rsidRDefault="00A800D8" w:rsidP="005B133B">
            <w:pPr>
              <w:rPr>
                <w:rFonts w:ascii="Calibri" w:hAnsi="Calibri" w:cs="Arial"/>
                <w:sz w:val="24"/>
              </w:rPr>
            </w:pPr>
          </w:p>
          <w:p w14:paraId="08BC0ADB" w14:textId="77777777" w:rsidR="00A800D8" w:rsidRPr="008D5CFD" w:rsidRDefault="00A800D8" w:rsidP="005B133B">
            <w:pPr>
              <w:rPr>
                <w:rFonts w:ascii="Calibri" w:hAnsi="Calibri" w:cs="Arial"/>
                <w:sz w:val="24"/>
              </w:rPr>
            </w:pPr>
            <w:r w:rsidRPr="008D5CFD">
              <w:rPr>
                <w:rFonts w:ascii="Calibri" w:hAnsi="Calibri" w:cs="Arial"/>
                <w:sz w:val="24"/>
              </w:rPr>
              <w:t xml:space="preserve">Commencement of section 31 is dependent on the making of Regulations in relation to a standardised rent scheme. Considerable work has been carried out by the Department in reviewing the current rent schemes to prepare recommendations regarding the potential for a standardised local authority rents framework for consideration as part of a package of social housing reforms.  </w:t>
            </w:r>
          </w:p>
          <w:p w14:paraId="30F9241D" w14:textId="77777777" w:rsidR="00A800D8" w:rsidRPr="008D5CFD" w:rsidRDefault="00A800D8" w:rsidP="005B133B">
            <w:pPr>
              <w:rPr>
                <w:rFonts w:ascii="Calibri" w:hAnsi="Calibri" w:cs="Arial"/>
                <w:sz w:val="24"/>
              </w:rPr>
            </w:pPr>
          </w:p>
          <w:p w14:paraId="60EB3AFC" w14:textId="092B2FC5" w:rsidR="00A800D8" w:rsidRPr="00A800D8" w:rsidRDefault="00A800D8" w:rsidP="005B133B">
            <w:pPr>
              <w:rPr>
                <w:rFonts w:ascii="Calibri" w:hAnsi="Calibri" w:cs="Arial"/>
                <w:sz w:val="24"/>
              </w:rPr>
            </w:pPr>
            <w:r w:rsidRPr="00A800D8">
              <w:rPr>
                <w:rFonts w:ascii="Calibri" w:hAnsi="Calibri" w:cs="Arial"/>
                <w:sz w:val="24"/>
              </w:rPr>
              <w:t>Re offence of giving false information resulting in a lower rent</w:t>
            </w:r>
            <w:r w:rsidR="00B8731C">
              <w:rPr>
                <w:rFonts w:ascii="Calibri" w:hAnsi="Calibri" w:cs="Arial"/>
                <w:sz w:val="24"/>
              </w:rPr>
              <w:t>. Need for commencement kept under review.</w:t>
            </w:r>
          </w:p>
          <w:p w14:paraId="3B42B634" w14:textId="77777777" w:rsidR="00A800D8" w:rsidRPr="00A800D8" w:rsidRDefault="00A800D8" w:rsidP="005B133B">
            <w:pPr>
              <w:rPr>
                <w:rFonts w:ascii="Calibri" w:hAnsi="Calibri" w:cs="Arial"/>
                <w:sz w:val="24"/>
              </w:rPr>
            </w:pPr>
          </w:p>
          <w:p w14:paraId="0954CEDF" w14:textId="50A723B1" w:rsidR="00A800D8" w:rsidRPr="00A800D8" w:rsidRDefault="00A800D8" w:rsidP="00B8731C">
            <w:pPr>
              <w:rPr>
                <w:rFonts w:ascii="Calibri" w:hAnsi="Calibri" w:cs="Arial"/>
                <w:sz w:val="24"/>
              </w:rPr>
            </w:pPr>
            <w:r w:rsidRPr="00A800D8">
              <w:rPr>
                <w:rFonts w:ascii="Calibri" w:hAnsi="Calibri" w:cs="Arial"/>
                <w:sz w:val="24"/>
              </w:rPr>
              <w:t>Also some other parts of sections 33 and 34 as they affect ss.28, 32, 32(9), 98, 99 or s. 3 of the 1992 Housing Act re interest on monies due to an LA</w:t>
            </w:r>
            <w:r w:rsidR="00B8731C">
              <w:rPr>
                <w:rFonts w:ascii="Calibri" w:hAnsi="Calibri" w:cs="Arial"/>
                <w:sz w:val="24"/>
              </w:rPr>
              <w:t>. Need for commencement kept under review</w:t>
            </w:r>
            <w:r w:rsidR="00D95537">
              <w:rPr>
                <w:rFonts w:ascii="Calibri" w:hAnsi="Calibri" w:cs="Arial"/>
                <w:sz w:val="24"/>
              </w:rPr>
              <w:t>.</w:t>
            </w:r>
          </w:p>
          <w:p w14:paraId="1590FCA8" w14:textId="77777777" w:rsidR="00A800D8" w:rsidRPr="00A800D8" w:rsidRDefault="00A800D8" w:rsidP="00B8731C">
            <w:pPr>
              <w:rPr>
                <w:rFonts w:ascii="Calibri" w:hAnsi="Calibri" w:cs="Arial"/>
                <w:sz w:val="24"/>
              </w:rPr>
            </w:pPr>
          </w:p>
          <w:p w14:paraId="763982FC" w14:textId="3982EC6E" w:rsidR="00A800D8" w:rsidRPr="00A800D8" w:rsidRDefault="00A800D8" w:rsidP="00B8731C">
            <w:pPr>
              <w:rPr>
                <w:rFonts w:ascii="Calibri" w:hAnsi="Calibri" w:cs="Arial"/>
                <w:sz w:val="24"/>
              </w:rPr>
            </w:pPr>
            <w:r w:rsidRPr="00A800D8">
              <w:rPr>
                <w:rFonts w:ascii="Calibri" w:hAnsi="Calibri" w:cs="Arial"/>
                <w:sz w:val="24"/>
              </w:rPr>
              <w:t>Non-sale of an apartment to a tenant in rent arrears</w:t>
            </w:r>
            <w:r w:rsidR="00D95537">
              <w:rPr>
                <w:rFonts w:ascii="Calibri" w:hAnsi="Calibri" w:cs="Arial"/>
                <w:sz w:val="24"/>
              </w:rPr>
              <w:t xml:space="preserve">. </w:t>
            </w:r>
            <w:r w:rsidR="00B8731C">
              <w:rPr>
                <w:rFonts w:ascii="Calibri" w:hAnsi="Calibri" w:cs="Arial"/>
                <w:sz w:val="24"/>
              </w:rPr>
              <w:t>Need for commencement kept under review</w:t>
            </w:r>
          </w:p>
          <w:p w14:paraId="1762E21A" w14:textId="77777777" w:rsidR="00A800D8" w:rsidRPr="00A800D8" w:rsidRDefault="00A800D8" w:rsidP="00B8731C">
            <w:pPr>
              <w:rPr>
                <w:rFonts w:ascii="Calibri" w:hAnsi="Calibri" w:cs="Arial"/>
                <w:sz w:val="24"/>
              </w:rPr>
            </w:pPr>
          </w:p>
          <w:p w14:paraId="4788D04B" w14:textId="77777777" w:rsidR="00A800D8" w:rsidRPr="008D5CFD" w:rsidRDefault="00A800D8" w:rsidP="00B8731C">
            <w:pPr>
              <w:rPr>
                <w:rFonts w:ascii="Calibri" w:hAnsi="Calibri" w:cs="Arial"/>
                <w:sz w:val="24"/>
              </w:rPr>
            </w:pPr>
            <w:r w:rsidRPr="00A800D8">
              <w:rPr>
                <w:rFonts w:ascii="Calibri" w:hAnsi="Calibri" w:cs="Arial"/>
                <w:sz w:val="24"/>
              </w:rPr>
              <w:t>Relates to sections 14-18.</w:t>
            </w:r>
            <w:r w:rsidRPr="008D5CFD">
              <w:rPr>
                <w:rFonts w:ascii="Calibri" w:hAnsi="Calibri" w:cs="Arial"/>
                <w:sz w:val="24"/>
              </w:rPr>
              <w:t xml:space="preserve">  </w:t>
            </w:r>
          </w:p>
          <w:p w14:paraId="66ABA6B5" w14:textId="77777777" w:rsidR="00A800D8" w:rsidRPr="008D5CFD" w:rsidRDefault="00A800D8" w:rsidP="00B8731C">
            <w:pPr>
              <w:rPr>
                <w:rFonts w:ascii="Calibri" w:hAnsi="Calibri" w:cs="Arial"/>
                <w:sz w:val="24"/>
              </w:rPr>
            </w:pPr>
          </w:p>
          <w:p w14:paraId="6227694F" w14:textId="6121E7B5" w:rsidR="00A800D8" w:rsidRPr="008D5CFD" w:rsidRDefault="00976BCC" w:rsidP="00B8731C">
            <w:pPr>
              <w:rPr>
                <w:rFonts w:ascii="Calibri" w:hAnsi="Calibri" w:cs="Arial"/>
                <w:sz w:val="24"/>
              </w:rPr>
            </w:pPr>
            <w:r>
              <w:rPr>
                <w:rFonts w:ascii="Calibri" w:hAnsi="Calibri" w:cs="Arial"/>
                <w:sz w:val="24"/>
              </w:rPr>
              <w:t>Commencement of t</w:t>
            </w:r>
            <w:r w:rsidR="00A800D8" w:rsidRPr="008D5CFD">
              <w:rPr>
                <w:rFonts w:ascii="Calibri" w:hAnsi="Calibri" w:cs="Arial"/>
                <w:sz w:val="24"/>
              </w:rPr>
              <w:t xml:space="preserve">hese provisions provide </w:t>
            </w:r>
            <w:r>
              <w:rPr>
                <w:rFonts w:ascii="Calibri" w:hAnsi="Calibri" w:cs="Arial"/>
                <w:sz w:val="24"/>
              </w:rPr>
              <w:t>are dependent on commencement of section 7</w:t>
            </w:r>
            <w:r w:rsidR="00A800D8" w:rsidRPr="008D5CFD">
              <w:rPr>
                <w:rFonts w:ascii="Calibri" w:hAnsi="Calibri" w:cs="Arial"/>
                <w:sz w:val="24"/>
              </w:rPr>
              <w:t xml:space="preserve">. </w:t>
            </w:r>
          </w:p>
          <w:p w14:paraId="1CFFE9B2" w14:textId="77777777" w:rsidR="00A800D8" w:rsidRPr="008D5CFD" w:rsidRDefault="00A800D8" w:rsidP="005B133B">
            <w:pPr>
              <w:rPr>
                <w:rFonts w:ascii="Calibri" w:hAnsi="Calibri" w:cs="Arial"/>
                <w:sz w:val="24"/>
              </w:rPr>
            </w:pPr>
          </w:p>
          <w:p w14:paraId="20B51E05" w14:textId="77777777" w:rsidR="00A800D8" w:rsidRPr="008D5CFD" w:rsidRDefault="00A800D8" w:rsidP="005B133B">
            <w:pPr>
              <w:rPr>
                <w:rFonts w:ascii="Calibri" w:hAnsi="Calibri" w:cs="Arial"/>
                <w:sz w:val="24"/>
              </w:rPr>
            </w:pPr>
            <w:r w:rsidRPr="008D5CFD">
              <w:rPr>
                <w:rFonts w:ascii="Calibri" w:hAnsi="Calibri" w:cs="Arial"/>
                <w:sz w:val="24"/>
              </w:rPr>
              <w:t>In the years since this legislation, a number of reforms of the scheme have been considered and implemented.  Further reforms are now being examined in the context of Programme for Government and Rebuilding Ireland commitments.  In the context of those reforms, the commencement of the provision will be examined shortly.</w:t>
            </w:r>
          </w:p>
          <w:p w14:paraId="5F4D5CD0" w14:textId="77777777" w:rsidR="00A800D8" w:rsidRPr="008D5CFD" w:rsidRDefault="00A800D8" w:rsidP="005B133B">
            <w:pPr>
              <w:rPr>
                <w:rFonts w:ascii="Calibri" w:hAnsi="Calibri" w:cs="Arial"/>
                <w:sz w:val="24"/>
              </w:rPr>
            </w:pPr>
          </w:p>
          <w:p w14:paraId="35EE7DD7" w14:textId="77777777" w:rsidR="00A800D8" w:rsidRPr="008D5CFD" w:rsidRDefault="00A800D8" w:rsidP="005B133B">
            <w:pPr>
              <w:rPr>
                <w:rFonts w:ascii="Calibri" w:hAnsi="Calibri" w:cs="Arial"/>
                <w:sz w:val="24"/>
              </w:rPr>
            </w:pPr>
            <w:r w:rsidRPr="008D5CFD">
              <w:rPr>
                <w:rFonts w:ascii="Calibri" w:hAnsi="Calibri" w:cs="Arial"/>
                <w:sz w:val="24"/>
              </w:rPr>
              <w:t>Relates to various un-commenced provisions</w:t>
            </w:r>
          </w:p>
          <w:p w14:paraId="195E78A0" w14:textId="77777777" w:rsidR="00A800D8" w:rsidRPr="008D5CFD" w:rsidRDefault="00A800D8" w:rsidP="005B133B">
            <w:pPr>
              <w:rPr>
                <w:rFonts w:ascii="Calibri" w:hAnsi="Calibri" w:cs="Arial"/>
                <w:sz w:val="24"/>
              </w:rPr>
            </w:pPr>
          </w:p>
          <w:p w14:paraId="58464B98" w14:textId="77777777" w:rsidR="00A800D8" w:rsidRPr="008D5CFD" w:rsidRDefault="00A800D8" w:rsidP="005B133B">
            <w:pPr>
              <w:rPr>
                <w:rFonts w:ascii="Calibri" w:hAnsi="Calibri" w:cs="Arial"/>
                <w:sz w:val="24"/>
              </w:rPr>
            </w:pPr>
          </w:p>
          <w:p w14:paraId="1BCEEC46" w14:textId="77777777" w:rsidR="00A800D8" w:rsidRPr="008D5CFD" w:rsidRDefault="00A800D8" w:rsidP="005B133B">
            <w:pPr>
              <w:rPr>
                <w:rFonts w:ascii="Calibri" w:hAnsi="Calibri" w:cs="Arial"/>
                <w:sz w:val="24"/>
              </w:rPr>
            </w:pPr>
            <w:r w:rsidRPr="008D5CFD">
              <w:rPr>
                <w:rFonts w:ascii="Calibri" w:hAnsi="Calibri" w:cs="Arial"/>
                <w:sz w:val="24"/>
              </w:rPr>
              <w:t>Relates to various un-commenced provisions.</w:t>
            </w:r>
          </w:p>
          <w:p w14:paraId="13CEDC0B" w14:textId="3221ADEB" w:rsidR="00A800D8" w:rsidRPr="008D5CFD" w:rsidRDefault="00A800D8" w:rsidP="005B133B">
            <w:pPr>
              <w:rPr>
                <w:rFonts w:ascii="Calibri" w:hAnsi="Calibri" w:cs="Arial"/>
                <w:sz w:val="24"/>
              </w:rPr>
            </w:pPr>
          </w:p>
        </w:tc>
      </w:tr>
      <w:tr w:rsidR="00A800D8" w:rsidRPr="008D5CFD" w14:paraId="05AD0441" w14:textId="7131739E" w:rsidTr="00A800D8">
        <w:tc>
          <w:tcPr>
            <w:tcW w:w="3005" w:type="dxa"/>
          </w:tcPr>
          <w:p w14:paraId="0699C33C" w14:textId="5F3550CD" w:rsidR="00A800D8" w:rsidRPr="008D5CFD" w:rsidRDefault="00A800D8" w:rsidP="00BF1F5E">
            <w:pPr>
              <w:rPr>
                <w:rFonts w:ascii="Calibri" w:hAnsi="Calibri" w:cs="Arial"/>
                <w:sz w:val="24"/>
              </w:rPr>
            </w:pPr>
            <w:r w:rsidRPr="008D5CFD">
              <w:rPr>
                <w:rFonts w:ascii="Calibri" w:hAnsi="Calibri" w:cs="Arial"/>
                <w:sz w:val="24"/>
              </w:rPr>
              <w:lastRenderedPageBreak/>
              <w:t>Housing (Miscellaneous Provisions) Act 2014</w:t>
            </w:r>
          </w:p>
        </w:tc>
        <w:tc>
          <w:tcPr>
            <w:tcW w:w="3005" w:type="dxa"/>
          </w:tcPr>
          <w:p w14:paraId="5DF0AE4A" w14:textId="77777777" w:rsidR="00A800D8" w:rsidRPr="008D5CFD" w:rsidRDefault="00A800D8" w:rsidP="005E30B2">
            <w:pPr>
              <w:rPr>
                <w:rFonts w:ascii="Calibri" w:hAnsi="Calibri" w:cs="Arial"/>
                <w:sz w:val="24"/>
              </w:rPr>
            </w:pPr>
            <w:r w:rsidRPr="008D5CFD">
              <w:rPr>
                <w:rFonts w:ascii="Calibri" w:hAnsi="Calibri" w:cs="Arial"/>
                <w:sz w:val="24"/>
              </w:rPr>
              <w:t>Section 20 amending 2009 Act</w:t>
            </w:r>
          </w:p>
          <w:p w14:paraId="755B4657" w14:textId="77777777" w:rsidR="00A800D8" w:rsidRPr="008D5CFD" w:rsidRDefault="00A800D8" w:rsidP="005E30B2">
            <w:pPr>
              <w:rPr>
                <w:rFonts w:ascii="Calibri" w:hAnsi="Calibri" w:cs="Arial"/>
                <w:sz w:val="24"/>
              </w:rPr>
            </w:pPr>
          </w:p>
          <w:p w14:paraId="49A6624E" w14:textId="77777777" w:rsidR="00A800D8" w:rsidRPr="008D5CFD" w:rsidRDefault="00A800D8" w:rsidP="005E30B2">
            <w:pPr>
              <w:rPr>
                <w:rFonts w:ascii="Calibri" w:hAnsi="Calibri" w:cs="Arial"/>
                <w:sz w:val="24"/>
              </w:rPr>
            </w:pPr>
            <w:r w:rsidRPr="008D5CFD">
              <w:rPr>
                <w:rFonts w:ascii="Calibri" w:hAnsi="Calibri" w:cs="Arial"/>
                <w:sz w:val="24"/>
              </w:rPr>
              <w:t xml:space="preserve">Part 4 - Section 41(4): Designation of areas where </w:t>
            </w:r>
            <w:r w:rsidRPr="008D5CFD">
              <w:rPr>
                <w:rFonts w:ascii="Calibri" w:hAnsi="Calibri" w:cs="Arial"/>
                <w:sz w:val="24"/>
              </w:rPr>
              <w:lastRenderedPageBreak/>
              <w:t>no further dwellings will be approved for housing assistance</w:t>
            </w:r>
          </w:p>
          <w:p w14:paraId="0F1616FE" w14:textId="77777777" w:rsidR="00A800D8" w:rsidRPr="008D5CFD" w:rsidRDefault="00A800D8" w:rsidP="005E30B2">
            <w:pPr>
              <w:rPr>
                <w:rFonts w:ascii="Calibri" w:hAnsi="Calibri" w:cs="Arial"/>
                <w:sz w:val="24"/>
              </w:rPr>
            </w:pPr>
          </w:p>
          <w:p w14:paraId="5D7CBAC8" w14:textId="77777777" w:rsidR="00A800D8" w:rsidRPr="008D5CFD" w:rsidRDefault="00A800D8" w:rsidP="005E30B2">
            <w:pPr>
              <w:rPr>
                <w:rFonts w:ascii="Calibri" w:hAnsi="Calibri" w:cs="Arial"/>
                <w:sz w:val="24"/>
              </w:rPr>
            </w:pPr>
            <w:r w:rsidRPr="008D5CFD">
              <w:rPr>
                <w:rFonts w:ascii="Calibri" w:hAnsi="Calibri" w:cs="Arial"/>
                <w:sz w:val="24"/>
              </w:rPr>
              <w:t>Part 4 - Section 44: Payment to housing authority by HAP beneficiary of rent contribution under s. 31 of 2009 Act (ss. (1)) and Prescription of manner of payment of rent contribution (ss. (2))</w:t>
            </w:r>
          </w:p>
          <w:p w14:paraId="15166074" w14:textId="77777777" w:rsidR="00A800D8" w:rsidRPr="008D5CFD" w:rsidRDefault="00A800D8" w:rsidP="005E30B2">
            <w:pPr>
              <w:rPr>
                <w:rFonts w:ascii="Calibri" w:hAnsi="Calibri" w:cs="Arial"/>
                <w:sz w:val="24"/>
              </w:rPr>
            </w:pPr>
          </w:p>
          <w:p w14:paraId="167EF4CC" w14:textId="77777777" w:rsidR="00A800D8" w:rsidRPr="008D5CFD" w:rsidRDefault="00A800D8" w:rsidP="005E30B2">
            <w:pPr>
              <w:rPr>
                <w:rFonts w:ascii="Calibri" w:hAnsi="Calibri" w:cs="Arial"/>
                <w:sz w:val="24"/>
              </w:rPr>
            </w:pPr>
            <w:r w:rsidRPr="008D5CFD">
              <w:rPr>
                <w:rFonts w:ascii="Calibri" w:hAnsi="Calibri" w:cs="Arial"/>
                <w:sz w:val="24"/>
              </w:rPr>
              <w:t>Part 4 - Section 47: Payment of HAP in respect of certain beneficiaries under the Capital Assistance Scheme</w:t>
            </w:r>
          </w:p>
          <w:p w14:paraId="1F81E17F" w14:textId="77777777" w:rsidR="00A800D8" w:rsidRPr="008D5CFD" w:rsidRDefault="00A800D8" w:rsidP="005E30B2">
            <w:pPr>
              <w:rPr>
                <w:rFonts w:ascii="Calibri" w:hAnsi="Calibri" w:cs="Arial"/>
                <w:sz w:val="24"/>
              </w:rPr>
            </w:pPr>
          </w:p>
          <w:p w14:paraId="54B47F21" w14:textId="77777777" w:rsidR="00A800D8" w:rsidRPr="008D5CFD" w:rsidRDefault="00A800D8" w:rsidP="005E30B2">
            <w:pPr>
              <w:rPr>
                <w:rFonts w:ascii="Calibri" w:hAnsi="Calibri" w:cs="Arial"/>
                <w:sz w:val="24"/>
              </w:rPr>
            </w:pPr>
            <w:r w:rsidRPr="008D5CFD">
              <w:rPr>
                <w:rFonts w:ascii="Calibri" w:hAnsi="Calibri" w:cs="Arial"/>
                <w:sz w:val="24"/>
              </w:rPr>
              <w:t>Part 4 - Section 48: Internal review, on request, of HAP decisions in prescribed decision classes</w:t>
            </w:r>
          </w:p>
          <w:p w14:paraId="2B7E0575" w14:textId="77777777" w:rsidR="00A800D8" w:rsidRPr="008D5CFD" w:rsidRDefault="00A800D8" w:rsidP="005E30B2">
            <w:pPr>
              <w:rPr>
                <w:rFonts w:ascii="Calibri" w:hAnsi="Calibri" w:cs="Arial"/>
                <w:sz w:val="24"/>
              </w:rPr>
            </w:pPr>
          </w:p>
          <w:p w14:paraId="1CA425A2" w14:textId="77777777" w:rsidR="00A800D8" w:rsidRPr="008D5CFD" w:rsidRDefault="00A800D8" w:rsidP="005E30B2">
            <w:pPr>
              <w:rPr>
                <w:rFonts w:ascii="Calibri" w:hAnsi="Calibri" w:cs="Arial"/>
                <w:sz w:val="24"/>
              </w:rPr>
            </w:pPr>
            <w:r w:rsidRPr="008D5CFD">
              <w:rPr>
                <w:rFonts w:ascii="Calibri" w:hAnsi="Calibri" w:cs="Arial"/>
                <w:sz w:val="24"/>
              </w:rPr>
              <w:t>Section 53</w:t>
            </w:r>
          </w:p>
          <w:p w14:paraId="6044804E" w14:textId="77777777" w:rsidR="00A800D8" w:rsidRPr="008D5CFD" w:rsidRDefault="00A800D8" w:rsidP="005E30B2">
            <w:pPr>
              <w:rPr>
                <w:rFonts w:ascii="Calibri" w:hAnsi="Calibri" w:cs="Arial"/>
                <w:sz w:val="24"/>
              </w:rPr>
            </w:pPr>
          </w:p>
          <w:p w14:paraId="3EFB22FA" w14:textId="77777777" w:rsidR="00A800D8" w:rsidRPr="008D5CFD" w:rsidRDefault="00A800D8" w:rsidP="005E30B2">
            <w:pPr>
              <w:rPr>
                <w:rFonts w:ascii="Calibri" w:hAnsi="Calibri" w:cs="Arial"/>
                <w:sz w:val="24"/>
              </w:rPr>
            </w:pPr>
          </w:p>
          <w:p w14:paraId="4379A736" w14:textId="77777777" w:rsidR="00A800D8" w:rsidRPr="008D5CFD" w:rsidRDefault="00A800D8" w:rsidP="005E30B2">
            <w:pPr>
              <w:rPr>
                <w:rFonts w:ascii="Calibri" w:hAnsi="Calibri" w:cs="Arial"/>
                <w:sz w:val="24"/>
              </w:rPr>
            </w:pPr>
          </w:p>
          <w:p w14:paraId="2D10AD04" w14:textId="77777777" w:rsidR="00A800D8" w:rsidRPr="008D5CFD" w:rsidRDefault="00A800D8" w:rsidP="005E30B2">
            <w:pPr>
              <w:rPr>
                <w:rFonts w:ascii="Calibri" w:hAnsi="Calibri" w:cs="Arial"/>
                <w:sz w:val="24"/>
              </w:rPr>
            </w:pPr>
          </w:p>
          <w:p w14:paraId="73CA4998" w14:textId="77777777" w:rsidR="00A800D8" w:rsidRPr="008D5CFD" w:rsidRDefault="00A800D8" w:rsidP="005E30B2">
            <w:pPr>
              <w:rPr>
                <w:rFonts w:ascii="Calibri" w:hAnsi="Calibri" w:cs="Arial"/>
                <w:sz w:val="24"/>
              </w:rPr>
            </w:pPr>
          </w:p>
          <w:p w14:paraId="32762F93" w14:textId="77777777" w:rsidR="00A800D8" w:rsidRPr="008D5CFD" w:rsidRDefault="00A800D8" w:rsidP="005E30B2">
            <w:pPr>
              <w:rPr>
                <w:rFonts w:ascii="Calibri" w:hAnsi="Calibri" w:cs="Arial"/>
                <w:sz w:val="24"/>
              </w:rPr>
            </w:pPr>
          </w:p>
          <w:p w14:paraId="7B0BEED8" w14:textId="77777777" w:rsidR="00A800D8" w:rsidRPr="008D5CFD" w:rsidRDefault="00A800D8" w:rsidP="005E30B2">
            <w:pPr>
              <w:rPr>
                <w:rFonts w:ascii="Calibri" w:hAnsi="Calibri" w:cs="Arial"/>
                <w:sz w:val="24"/>
              </w:rPr>
            </w:pPr>
          </w:p>
          <w:p w14:paraId="13D6C983" w14:textId="77777777" w:rsidR="00A800D8" w:rsidRPr="008D5CFD" w:rsidRDefault="00A800D8" w:rsidP="005E30B2">
            <w:pPr>
              <w:rPr>
                <w:rFonts w:ascii="Calibri" w:hAnsi="Calibri" w:cs="Arial"/>
                <w:sz w:val="24"/>
              </w:rPr>
            </w:pPr>
          </w:p>
          <w:p w14:paraId="31FD4F94" w14:textId="77777777" w:rsidR="00A800D8" w:rsidRPr="008D5CFD" w:rsidRDefault="00A800D8" w:rsidP="005E30B2">
            <w:pPr>
              <w:rPr>
                <w:rFonts w:ascii="Calibri" w:hAnsi="Calibri" w:cs="Arial"/>
                <w:sz w:val="24"/>
              </w:rPr>
            </w:pPr>
          </w:p>
          <w:p w14:paraId="5DE2A1F4" w14:textId="77777777" w:rsidR="00A800D8" w:rsidRPr="008D5CFD" w:rsidRDefault="00A800D8" w:rsidP="005E30B2">
            <w:pPr>
              <w:rPr>
                <w:rFonts w:ascii="Calibri" w:hAnsi="Calibri" w:cs="Arial"/>
                <w:sz w:val="24"/>
              </w:rPr>
            </w:pPr>
          </w:p>
          <w:p w14:paraId="5A6BE887" w14:textId="77777777" w:rsidR="00A800D8" w:rsidRPr="008D5CFD" w:rsidRDefault="00A800D8" w:rsidP="005E30B2">
            <w:pPr>
              <w:rPr>
                <w:rFonts w:ascii="Calibri" w:hAnsi="Calibri" w:cs="Arial"/>
                <w:sz w:val="24"/>
              </w:rPr>
            </w:pPr>
          </w:p>
          <w:p w14:paraId="78C4698B" w14:textId="77777777" w:rsidR="00A800D8" w:rsidRPr="008D5CFD" w:rsidRDefault="00A800D8" w:rsidP="005E30B2">
            <w:pPr>
              <w:rPr>
                <w:rFonts w:ascii="Calibri" w:hAnsi="Calibri" w:cs="Arial"/>
                <w:sz w:val="24"/>
              </w:rPr>
            </w:pPr>
          </w:p>
          <w:p w14:paraId="64FDCE7B" w14:textId="77777777" w:rsidR="00A800D8" w:rsidRDefault="00A800D8" w:rsidP="005E30B2">
            <w:pPr>
              <w:rPr>
                <w:rFonts w:ascii="Calibri" w:hAnsi="Calibri" w:cs="Arial"/>
                <w:sz w:val="24"/>
              </w:rPr>
            </w:pPr>
          </w:p>
          <w:p w14:paraId="2FB7331D" w14:textId="77777777" w:rsidR="00A800D8" w:rsidRDefault="00A800D8" w:rsidP="005E30B2">
            <w:pPr>
              <w:rPr>
                <w:rFonts w:ascii="Calibri" w:hAnsi="Calibri" w:cs="Arial"/>
                <w:sz w:val="24"/>
              </w:rPr>
            </w:pPr>
          </w:p>
          <w:p w14:paraId="53E399CE" w14:textId="39EC0CE3" w:rsidR="00A800D8" w:rsidRPr="008D5CFD" w:rsidRDefault="00A800D8" w:rsidP="005E30B2">
            <w:pPr>
              <w:rPr>
                <w:rFonts w:ascii="Calibri" w:hAnsi="Calibri" w:cs="Arial"/>
                <w:sz w:val="24"/>
              </w:rPr>
            </w:pPr>
            <w:r w:rsidRPr="008D5CFD">
              <w:rPr>
                <w:rFonts w:ascii="Calibri" w:hAnsi="Calibri" w:cs="Arial"/>
                <w:sz w:val="24"/>
              </w:rPr>
              <w:t>Section 54(1)</w:t>
            </w:r>
          </w:p>
        </w:tc>
        <w:tc>
          <w:tcPr>
            <w:tcW w:w="3341" w:type="dxa"/>
          </w:tcPr>
          <w:p w14:paraId="33B7B541" w14:textId="77777777" w:rsidR="00A800D8" w:rsidRPr="008D5CFD" w:rsidRDefault="00A800D8" w:rsidP="005E30B2">
            <w:pPr>
              <w:rPr>
                <w:rFonts w:ascii="Calibri" w:hAnsi="Calibri" w:cs="Arial"/>
                <w:sz w:val="24"/>
              </w:rPr>
            </w:pPr>
            <w:r w:rsidRPr="008D5CFD">
              <w:rPr>
                <w:rFonts w:ascii="Calibri" w:hAnsi="Calibri" w:cs="Arial"/>
                <w:sz w:val="24"/>
              </w:rPr>
              <w:lastRenderedPageBreak/>
              <w:t xml:space="preserve">Relates to the </w:t>
            </w:r>
            <w:proofErr w:type="spellStart"/>
            <w:r w:rsidRPr="008D5CFD">
              <w:rPr>
                <w:rFonts w:ascii="Calibri" w:hAnsi="Calibri" w:cs="Arial"/>
                <w:sz w:val="24"/>
              </w:rPr>
              <w:t>uncommenced</w:t>
            </w:r>
            <w:proofErr w:type="spellEnd"/>
            <w:r w:rsidRPr="008D5CFD">
              <w:rPr>
                <w:rFonts w:ascii="Calibri" w:hAnsi="Calibri" w:cs="Arial"/>
                <w:sz w:val="24"/>
              </w:rPr>
              <w:t xml:space="preserve"> section 29 of the 2009 Act</w:t>
            </w:r>
          </w:p>
          <w:p w14:paraId="29B13FCD" w14:textId="77777777" w:rsidR="00A800D8" w:rsidRPr="008D5CFD" w:rsidRDefault="00A800D8" w:rsidP="005E30B2">
            <w:pPr>
              <w:rPr>
                <w:rFonts w:ascii="Calibri" w:hAnsi="Calibri" w:cs="Arial"/>
                <w:sz w:val="24"/>
              </w:rPr>
            </w:pPr>
          </w:p>
          <w:p w14:paraId="270A989D" w14:textId="2C21D5C2" w:rsidR="00D30D72" w:rsidRPr="008D5CFD" w:rsidRDefault="00D30D72" w:rsidP="00D30D72">
            <w:pPr>
              <w:rPr>
                <w:rFonts w:ascii="Calibri" w:hAnsi="Calibri" w:cs="Arial"/>
                <w:sz w:val="24"/>
              </w:rPr>
            </w:pPr>
            <w:r w:rsidRPr="008D5CFD">
              <w:rPr>
                <w:rFonts w:ascii="Calibri" w:hAnsi="Calibri"/>
                <w:sz w:val="24"/>
              </w:rPr>
              <w:t>Need for commencement kept under review</w:t>
            </w:r>
            <w:r w:rsidR="00D95537">
              <w:rPr>
                <w:rFonts w:ascii="Calibri" w:hAnsi="Calibri"/>
                <w:sz w:val="24"/>
              </w:rPr>
              <w:t>.</w:t>
            </w:r>
          </w:p>
          <w:p w14:paraId="0A6E8DED" w14:textId="0B719EC9" w:rsidR="00A800D8" w:rsidRPr="008D5CFD" w:rsidRDefault="00A800D8" w:rsidP="005E30B2">
            <w:pPr>
              <w:rPr>
                <w:rFonts w:ascii="Calibri" w:hAnsi="Calibri" w:cs="Arial"/>
                <w:sz w:val="24"/>
              </w:rPr>
            </w:pPr>
          </w:p>
          <w:p w14:paraId="4E478328" w14:textId="77777777" w:rsidR="00A800D8" w:rsidRPr="008D5CFD" w:rsidRDefault="00A800D8" w:rsidP="005E30B2">
            <w:pPr>
              <w:rPr>
                <w:rFonts w:ascii="Calibri" w:hAnsi="Calibri" w:cs="Arial"/>
                <w:sz w:val="24"/>
              </w:rPr>
            </w:pPr>
          </w:p>
          <w:p w14:paraId="287F6901" w14:textId="77777777" w:rsidR="00A800D8" w:rsidRPr="008D5CFD" w:rsidRDefault="00A800D8" w:rsidP="005E30B2">
            <w:pPr>
              <w:rPr>
                <w:rFonts w:ascii="Calibri" w:hAnsi="Calibri" w:cs="Arial"/>
                <w:sz w:val="24"/>
              </w:rPr>
            </w:pPr>
          </w:p>
          <w:p w14:paraId="3AEC0C2D" w14:textId="77777777" w:rsidR="00A800D8" w:rsidRPr="008D5CFD" w:rsidRDefault="00A800D8" w:rsidP="005E30B2">
            <w:pPr>
              <w:rPr>
                <w:rFonts w:ascii="Calibri" w:hAnsi="Calibri" w:cs="Arial"/>
                <w:sz w:val="24"/>
              </w:rPr>
            </w:pPr>
          </w:p>
          <w:p w14:paraId="0C9BF8C3" w14:textId="77777777" w:rsidR="00A800D8" w:rsidRPr="008D5CFD" w:rsidRDefault="00A800D8" w:rsidP="005E30B2">
            <w:pPr>
              <w:rPr>
                <w:rFonts w:ascii="Calibri" w:hAnsi="Calibri" w:cs="Arial"/>
                <w:sz w:val="24"/>
              </w:rPr>
            </w:pPr>
            <w:r w:rsidRPr="008D5CFD">
              <w:rPr>
                <w:rFonts w:ascii="Calibri" w:hAnsi="Calibri" w:cs="Arial"/>
                <w:sz w:val="24"/>
              </w:rPr>
              <w:t>Dependent on the commencement of section 31 of the 2009 Act concerning rent schemes and charges.</w:t>
            </w:r>
          </w:p>
          <w:p w14:paraId="56A2FF38" w14:textId="77777777" w:rsidR="00A800D8" w:rsidRPr="008D5CFD" w:rsidRDefault="00A800D8" w:rsidP="005E30B2">
            <w:pPr>
              <w:rPr>
                <w:rFonts w:ascii="Calibri" w:hAnsi="Calibri" w:cs="Arial"/>
                <w:sz w:val="24"/>
              </w:rPr>
            </w:pPr>
          </w:p>
          <w:p w14:paraId="4625F1E4" w14:textId="77777777" w:rsidR="00A800D8" w:rsidRPr="008D5CFD" w:rsidRDefault="00A800D8" w:rsidP="005E30B2">
            <w:pPr>
              <w:rPr>
                <w:rFonts w:ascii="Calibri" w:hAnsi="Calibri" w:cs="Arial"/>
                <w:sz w:val="24"/>
              </w:rPr>
            </w:pPr>
          </w:p>
          <w:p w14:paraId="38BD9CE8" w14:textId="77777777" w:rsidR="00A800D8" w:rsidRPr="008D5CFD" w:rsidRDefault="00A800D8" w:rsidP="005E30B2">
            <w:pPr>
              <w:rPr>
                <w:rFonts w:ascii="Calibri" w:hAnsi="Calibri" w:cs="Arial"/>
                <w:sz w:val="24"/>
              </w:rPr>
            </w:pPr>
          </w:p>
          <w:p w14:paraId="5D394B65" w14:textId="77777777" w:rsidR="00A800D8" w:rsidRPr="008D5CFD" w:rsidRDefault="00A800D8" w:rsidP="005E30B2">
            <w:pPr>
              <w:rPr>
                <w:rFonts w:ascii="Calibri" w:hAnsi="Calibri" w:cs="Arial"/>
                <w:sz w:val="24"/>
              </w:rPr>
            </w:pPr>
          </w:p>
          <w:p w14:paraId="7A0E36BB" w14:textId="77777777" w:rsidR="00A800D8" w:rsidRPr="008D5CFD" w:rsidRDefault="00A800D8" w:rsidP="005E30B2">
            <w:pPr>
              <w:rPr>
                <w:rFonts w:ascii="Calibri" w:hAnsi="Calibri" w:cs="Arial"/>
                <w:sz w:val="24"/>
              </w:rPr>
            </w:pPr>
          </w:p>
          <w:p w14:paraId="2DD239CE" w14:textId="0DB0EA31" w:rsidR="00A800D8" w:rsidRPr="008D5CFD" w:rsidRDefault="00A800D8" w:rsidP="005E30B2">
            <w:pPr>
              <w:rPr>
                <w:rFonts w:ascii="Calibri" w:hAnsi="Calibri" w:cs="Arial"/>
                <w:sz w:val="24"/>
              </w:rPr>
            </w:pPr>
            <w:r w:rsidRPr="008D5CFD">
              <w:rPr>
                <w:rFonts w:ascii="Calibri" w:hAnsi="Calibri" w:cs="Arial"/>
                <w:sz w:val="24"/>
              </w:rPr>
              <w:t>Provision has been made for such households through the RAS scheme.</w:t>
            </w:r>
          </w:p>
          <w:p w14:paraId="75005805" w14:textId="77777777" w:rsidR="00A800D8" w:rsidRPr="008D5CFD" w:rsidRDefault="00A800D8" w:rsidP="005E30B2">
            <w:pPr>
              <w:rPr>
                <w:rFonts w:ascii="Calibri" w:hAnsi="Calibri" w:cs="Arial"/>
                <w:sz w:val="24"/>
              </w:rPr>
            </w:pPr>
          </w:p>
          <w:p w14:paraId="293D9CE5" w14:textId="77777777" w:rsidR="00A800D8" w:rsidRPr="008D5CFD" w:rsidRDefault="00A800D8" w:rsidP="005E30B2">
            <w:pPr>
              <w:rPr>
                <w:rFonts w:ascii="Calibri" w:hAnsi="Calibri" w:cs="Arial"/>
                <w:sz w:val="24"/>
              </w:rPr>
            </w:pPr>
          </w:p>
          <w:p w14:paraId="08A1BC31" w14:textId="77777777" w:rsidR="00A800D8" w:rsidRPr="008D5CFD" w:rsidRDefault="00A800D8" w:rsidP="005E30B2">
            <w:pPr>
              <w:rPr>
                <w:rFonts w:ascii="Calibri" w:hAnsi="Calibri" w:cs="Arial"/>
                <w:sz w:val="24"/>
              </w:rPr>
            </w:pPr>
            <w:r w:rsidRPr="008D5CFD">
              <w:rPr>
                <w:rFonts w:ascii="Calibri" w:hAnsi="Calibri" w:cs="Arial"/>
                <w:sz w:val="24"/>
              </w:rPr>
              <w:t>Appeals are currently being dealt with under a local authority’s Customer Charter.</w:t>
            </w:r>
          </w:p>
          <w:p w14:paraId="3FBD5268" w14:textId="77777777" w:rsidR="00A800D8" w:rsidRPr="008D5CFD" w:rsidRDefault="00A800D8" w:rsidP="005E30B2">
            <w:pPr>
              <w:rPr>
                <w:rFonts w:ascii="Calibri" w:hAnsi="Calibri" w:cs="Arial"/>
                <w:sz w:val="24"/>
              </w:rPr>
            </w:pPr>
          </w:p>
          <w:p w14:paraId="5D0F38DF" w14:textId="77777777" w:rsidR="00A800D8" w:rsidRPr="008D5CFD" w:rsidRDefault="00A800D8" w:rsidP="005E30B2">
            <w:pPr>
              <w:rPr>
                <w:rFonts w:ascii="Calibri" w:hAnsi="Calibri" w:cs="Arial"/>
                <w:sz w:val="24"/>
              </w:rPr>
            </w:pPr>
          </w:p>
          <w:p w14:paraId="6E340ACE" w14:textId="77777777" w:rsidR="00A800D8" w:rsidRPr="008D5CFD" w:rsidRDefault="00A800D8" w:rsidP="005E30B2">
            <w:pPr>
              <w:rPr>
                <w:rFonts w:ascii="Calibri" w:hAnsi="Calibri" w:cs="Arial"/>
                <w:sz w:val="24"/>
              </w:rPr>
            </w:pPr>
            <w:r w:rsidRPr="008D5CFD">
              <w:rPr>
                <w:rFonts w:ascii="Calibri" w:hAnsi="Calibri" w:cs="Arial"/>
                <w:sz w:val="24"/>
              </w:rPr>
              <w:t>Provides for the direct deduction of rent from Department of Social Protection payments and is dependent on the commencement of section 31 of the 2009 Act.  The implications of commencement are being considered by a Working Group in the context of the work on the introduction of a standardised rent scheme as part of the social housing reform package.</w:t>
            </w:r>
          </w:p>
          <w:p w14:paraId="5D8F71AD" w14:textId="77777777" w:rsidR="00A800D8" w:rsidRPr="008D5CFD" w:rsidRDefault="00A800D8" w:rsidP="005E30B2">
            <w:pPr>
              <w:rPr>
                <w:rFonts w:ascii="Calibri" w:hAnsi="Calibri" w:cs="Arial"/>
                <w:sz w:val="24"/>
              </w:rPr>
            </w:pPr>
          </w:p>
          <w:p w14:paraId="5D9058D6" w14:textId="6308E8F7" w:rsidR="00A800D8" w:rsidRPr="008D5CFD" w:rsidRDefault="00A800D8" w:rsidP="005E30B2">
            <w:pPr>
              <w:rPr>
                <w:rFonts w:ascii="Calibri" w:hAnsi="Calibri" w:cs="Arial"/>
                <w:sz w:val="24"/>
              </w:rPr>
            </w:pPr>
            <w:r w:rsidRPr="008D5CFD">
              <w:rPr>
                <w:rFonts w:ascii="Calibri" w:hAnsi="Calibri" w:cs="Arial"/>
                <w:sz w:val="24"/>
              </w:rPr>
              <w:t>Amends the Social Welfare Act 2005 and is dependent on the commencement of section 53.</w:t>
            </w:r>
          </w:p>
        </w:tc>
      </w:tr>
      <w:tr w:rsidR="00A800D8" w:rsidRPr="008D5CFD" w14:paraId="477F0F1C" w14:textId="22A5CAD5" w:rsidTr="00A800D8">
        <w:tc>
          <w:tcPr>
            <w:tcW w:w="3005" w:type="dxa"/>
          </w:tcPr>
          <w:p w14:paraId="605ECDB0" w14:textId="3FA75A7F" w:rsidR="00A800D8" w:rsidRPr="008D5CFD" w:rsidRDefault="00A800D8" w:rsidP="00BF1F5E">
            <w:pPr>
              <w:rPr>
                <w:rFonts w:ascii="Calibri" w:hAnsi="Calibri" w:cs="Arial"/>
                <w:sz w:val="24"/>
              </w:rPr>
            </w:pPr>
            <w:r w:rsidRPr="008D5CFD">
              <w:rPr>
                <w:rFonts w:ascii="Calibri" w:hAnsi="Calibri"/>
                <w:sz w:val="24"/>
              </w:rPr>
              <w:lastRenderedPageBreak/>
              <w:t>Housing (Regulation of Approved Housing Bodies) Act 2019</w:t>
            </w:r>
          </w:p>
        </w:tc>
        <w:tc>
          <w:tcPr>
            <w:tcW w:w="3005" w:type="dxa"/>
          </w:tcPr>
          <w:p w14:paraId="28CC62E7" w14:textId="628728B0" w:rsidR="00A800D8" w:rsidRPr="008D5CFD" w:rsidRDefault="00A800D8" w:rsidP="00815DFC">
            <w:pPr>
              <w:rPr>
                <w:rFonts w:ascii="Calibri" w:hAnsi="Calibri"/>
                <w:sz w:val="24"/>
              </w:rPr>
            </w:pPr>
            <w:r w:rsidRPr="008D5CFD">
              <w:rPr>
                <w:rFonts w:ascii="Calibri" w:hAnsi="Calibri"/>
                <w:sz w:val="24"/>
              </w:rPr>
              <w:t>9(1)(a)-(g), (</w:t>
            </w:r>
            <w:proofErr w:type="spellStart"/>
            <w:r w:rsidRPr="008D5CFD">
              <w:rPr>
                <w:rFonts w:ascii="Calibri" w:hAnsi="Calibri"/>
                <w:sz w:val="24"/>
              </w:rPr>
              <w:t>i</w:t>
            </w:r>
            <w:proofErr w:type="spellEnd"/>
            <w:r w:rsidRPr="008D5CFD">
              <w:rPr>
                <w:rFonts w:ascii="Calibri" w:hAnsi="Calibri"/>
                <w:sz w:val="24"/>
              </w:rPr>
              <w:t>),</w:t>
            </w:r>
            <w:r w:rsidR="00DF22C0">
              <w:rPr>
                <w:rFonts w:ascii="Calibri" w:hAnsi="Calibri"/>
                <w:sz w:val="24"/>
              </w:rPr>
              <w:t xml:space="preserve"> </w:t>
            </w:r>
            <w:r w:rsidRPr="008D5CFD">
              <w:rPr>
                <w:rFonts w:ascii="Calibri" w:hAnsi="Calibri"/>
                <w:sz w:val="24"/>
              </w:rPr>
              <w:t>(j)</w:t>
            </w:r>
          </w:p>
          <w:p w14:paraId="43FAFD4D" w14:textId="77777777" w:rsidR="00A800D8" w:rsidRPr="008D5CFD" w:rsidRDefault="00A800D8" w:rsidP="00815DFC">
            <w:pPr>
              <w:rPr>
                <w:rFonts w:ascii="Calibri" w:hAnsi="Calibri"/>
                <w:sz w:val="24"/>
              </w:rPr>
            </w:pPr>
            <w:r w:rsidRPr="008D5CFD">
              <w:rPr>
                <w:rFonts w:ascii="Calibri" w:hAnsi="Calibri"/>
                <w:sz w:val="24"/>
              </w:rPr>
              <w:t>24-60</w:t>
            </w:r>
          </w:p>
          <w:p w14:paraId="0ED45475" w14:textId="77777777" w:rsidR="00A800D8" w:rsidRPr="008D5CFD" w:rsidRDefault="00A800D8" w:rsidP="00815DFC">
            <w:pPr>
              <w:rPr>
                <w:rFonts w:ascii="Calibri" w:hAnsi="Calibri"/>
                <w:sz w:val="24"/>
              </w:rPr>
            </w:pPr>
            <w:r w:rsidRPr="008D5CFD">
              <w:rPr>
                <w:rFonts w:ascii="Calibri" w:hAnsi="Calibri"/>
                <w:sz w:val="24"/>
              </w:rPr>
              <w:t>62-64</w:t>
            </w:r>
          </w:p>
          <w:p w14:paraId="3005BBB2" w14:textId="02B8CC0C" w:rsidR="00A800D8" w:rsidRPr="008D5CFD" w:rsidRDefault="00A800D8" w:rsidP="00815DFC">
            <w:pPr>
              <w:rPr>
                <w:rFonts w:ascii="Calibri" w:hAnsi="Calibri" w:cs="Arial"/>
                <w:sz w:val="24"/>
              </w:rPr>
            </w:pPr>
            <w:r w:rsidRPr="008D5CFD">
              <w:rPr>
                <w:rFonts w:ascii="Calibri" w:hAnsi="Calibri"/>
                <w:sz w:val="24"/>
              </w:rPr>
              <w:t>66-70</w:t>
            </w:r>
          </w:p>
        </w:tc>
        <w:tc>
          <w:tcPr>
            <w:tcW w:w="3341" w:type="dxa"/>
          </w:tcPr>
          <w:p w14:paraId="66FE5E93" w14:textId="7FF3338E" w:rsidR="00A800D8" w:rsidRPr="008D5CFD" w:rsidRDefault="00A800D8" w:rsidP="00D67119">
            <w:pPr>
              <w:rPr>
                <w:rFonts w:ascii="Calibri" w:hAnsi="Calibri" w:cs="Arial"/>
                <w:sz w:val="24"/>
              </w:rPr>
            </w:pPr>
            <w:r w:rsidRPr="008D5CFD">
              <w:rPr>
                <w:rFonts w:ascii="Calibri" w:hAnsi="Calibri"/>
                <w:sz w:val="24"/>
              </w:rPr>
              <w:t xml:space="preserve">The Approved Housing Bodies Regulatory Authority was established on 1 Feb 2021. The legislation is being commenced on a phased basis to allow for preparatory work to be completed. It is anticipated that </w:t>
            </w:r>
            <w:r w:rsidRPr="008D5CFD">
              <w:rPr>
                <w:rFonts w:ascii="Calibri" w:hAnsi="Calibri"/>
                <w:sz w:val="24"/>
              </w:rPr>
              <w:lastRenderedPageBreak/>
              <w:t>all legislative provisions will be commenced by Q1 2022.</w:t>
            </w:r>
          </w:p>
        </w:tc>
      </w:tr>
      <w:tr w:rsidR="00A800D8" w:rsidRPr="008D5CFD" w14:paraId="3D205D3A" w14:textId="005243E2" w:rsidTr="00A800D8">
        <w:tc>
          <w:tcPr>
            <w:tcW w:w="3005" w:type="dxa"/>
          </w:tcPr>
          <w:p w14:paraId="422DD6EE" w14:textId="27A11217" w:rsidR="00A800D8" w:rsidRPr="008D5CFD" w:rsidRDefault="00A800D8" w:rsidP="00BF1F5E">
            <w:pPr>
              <w:rPr>
                <w:rFonts w:ascii="Calibri" w:hAnsi="Calibri"/>
                <w:sz w:val="24"/>
              </w:rPr>
            </w:pPr>
            <w:r w:rsidRPr="008D5CFD">
              <w:rPr>
                <w:rFonts w:ascii="Calibri" w:hAnsi="Calibri"/>
                <w:sz w:val="24"/>
              </w:rPr>
              <w:lastRenderedPageBreak/>
              <w:t>Wildlife (Amendment) Act 2000</w:t>
            </w:r>
          </w:p>
        </w:tc>
        <w:tc>
          <w:tcPr>
            <w:tcW w:w="3005" w:type="dxa"/>
          </w:tcPr>
          <w:p w14:paraId="739B3C4E" w14:textId="12F6BDF9" w:rsidR="00A800D8" w:rsidRPr="008D5CFD" w:rsidRDefault="00A800D8" w:rsidP="00815DFC">
            <w:pPr>
              <w:rPr>
                <w:rFonts w:ascii="Calibri" w:hAnsi="Calibri"/>
                <w:sz w:val="24"/>
              </w:rPr>
            </w:pPr>
            <w:r w:rsidRPr="008D5CFD">
              <w:rPr>
                <w:rFonts w:ascii="Calibri" w:hAnsi="Calibri"/>
                <w:sz w:val="24"/>
              </w:rPr>
              <w:t>Section 36</w:t>
            </w:r>
          </w:p>
        </w:tc>
        <w:tc>
          <w:tcPr>
            <w:tcW w:w="3341" w:type="dxa"/>
          </w:tcPr>
          <w:p w14:paraId="25655FFE" w14:textId="1D6B79FC" w:rsidR="00A800D8" w:rsidRPr="008D5CFD" w:rsidRDefault="00A800D8" w:rsidP="00D67119">
            <w:pPr>
              <w:rPr>
                <w:rFonts w:ascii="Calibri" w:hAnsi="Calibri"/>
                <w:sz w:val="24"/>
              </w:rPr>
            </w:pPr>
            <w:r w:rsidRPr="008D5CFD">
              <w:rPr>
                <w:rFonts w:ascii="Calibri" w:hAnsi="Calibri"/>
                <w:sz w:val="24"/>
              </w:rPr>
              <w:t>Need for commencement kept under review</w:t>
            </w:r>
          </w:p>
        </w:tc>
      </w:tr>
      <w:tr w:rsidR="00A800D8" w:rsidRPr="00D72A98" w14:paraId="5285DA2A" w14:textId="6EB104C2" w:rsidTr="00A800D8">
        <w:tc>
          <w:tcPr>
            <w:tcW w:w="3005" w:type="dxa"/>
          </w:tcPr>
          <w:p w14:paraId="63B6A0FC" w14:textId="460E58E1" w:rsidR="00A800D8" w:rsidRPr="00D72A98" w:rsidRDefault="00A800D8" w:rsidP="00BF1F5E">
            <w:pPr>
              <w:rPr>
                <w:rFonts w:cstheme="minorHAnsi"/>
                <w:color w:val="000000" w:themeColor="text1"/>
                <w:sz w:val="24"/>
                <w:szCs w:val="24"/>
              </w:rPr>
            </w:pPr>
            <w:r w:rsidRPr="00D72A98">
              <w:rPr>
                <w:rFonts w:cstheme="minorHAnsi"/>
                <w:sz w:val="24"/>
                <w:szCs w:val="24"/>
              </w:rPr>
              <w:t>Planning and Development (Housing) and Residential Tenancies Act 2016</w:t>
            </w:r>
          </w:p>
        </w:tc>
        <w:tc>
          <w:tcPr>
            <w:tcW w:w="3005" w:type="dxa"/>
          </w:tcPr>
          <w:p w14:paraId="704ABF1B" w14:textId="6F7C7D8A" w:rsidR="00A800D8" w:rsidRPr="00D72A98" w:rsidRDefault="00A800D8" w:rsidP="004A788C">
            <w:pPr>
              <w:rPr>
                <w:rFonts w:cstheme="minorHAnsi"/>
                <w:color w:val="000000" w:themeColor="text1"/>
                <w:sz w:val="24"/>
                <w:szCs w:val="24"/>
              </w:rPr>
            </w:pPr>
            <w:r w:rsidRPr="00D72A98">
              <w:rPr>
                <w:rFonts w:cstheme="minorHAnsi"/>
                <w:sz w:val="24"/>
                <w:szCs w:val="24"/>
              </w:rPr>
              <w:t>Section 28(1)</w:t>
            </w:r>
          </w:p>
        </w:tc>
        <w:tc>
          <w:tcPr>
            <w:tcW w:w="3341" w:type="dxa"/>
          </w:tcPr>
          <w:p w14:paraId="007E7283" w14:textId="34DF6E11" w:rsidR="00A800D8" w:rsidRPr="00D72A98" w:rsidRDefault="00A800D8" w:rsidP="00F85CAB">
            <w:pPr>
              <w:rPr>
                <w:rFonts w:cstheme="minorHAnsi"/>
                <w:sz w:val="24"/>
                <w:szCs w:val="24"/>
              </w:rPr>
            </w:pPr>
            <w:r w:rsidRPr="00D72A98">
              <w:rPr>
                <w:rFonts w:cstheme="minorHAnsi"/>
                <w:sz w:val="24"/>
                <w:szCs w:val="24"/>
              </w:rPr>
              <w:t>Further associated amendments are required in order to commence this provision. Drafting of these additional amendments is currently underway.</w:t>
            </w:r>
          </w:p>
          <w:p w14:paraId="0DFBCF08" w14:textId="77777777" w:rsidR="00A800D8" w:rsidRPr="00D72A98" w:rsidRDefault="00A800D8" w:rsidP="00F85CAB">
            <w:pPr>
              <w:rPr>
                <w:rFonts w:cstheme="minorHAnsi"/>
                <w:sz w:val="24"/>
                <w:szCs w:val="24"/>
              </w:rPr>
            </w:pPr>
          </w:p>
          <w:p w14:paraId="7E926DA9" w14:textId="77777777" w:rsidR="00A800D8" w:rsidRPr="00D72A98" w:rsidRDefault="00A800D8" w:rsidP="004A788C">
            <w:pPr>
              <w:rPr>
                <w:rFonts w:cstheme="minorHAnsi"/>
                <w:color w:val="000000" w:themeColor="text1"/>
                <w:sz w:val="24"/>
                <w:szCs w:val="24"/>
              </w:rPr>
            </w:pPr>
          </w:p>
        </w:tc>
      </w:tr>
      <w:tr w:rsidR="00A800D8" w:rsidRPr="00D72A98" w14:paraId="77725E6A" w14:textId="08155787" w:rsidTr="00A800D8">
        <w:tc>
          <w:tcPr>
            <w:tcW w:w="3005" w:type="dxa"/>
          </w:tcPr>
          <w:p w14:paraId="087BCDA7" w14:textId="04107D9E" w:rsidR="00A800D8" w:rsidRPr="00D72A98" w:rsidRDefault="00A800D8" w:rsidP="00BF1F5E">
            <w:pPr>
              <w:rPr>
                <w:rFonts w:cstheme="minorHAnsi"/>
                <w:sz w:val="24"/>
                <w:szCs w:val="24"/>
              </w:rPr>
            </w:pPr>
            <w:r w:rsidRPr="00D72A98">
              <w:rPr>
                <w:rFonts w:cstheme="minorHAnsi"/>
                <w:sz w:val="24"/>
                <w:szCs w:val="24"/>
              </w:rPr>
              <w:t>Planning and Development (Amendment) Act 2018</w:t>
            </w:r>
          </w:p>
        </w:tc>
        <w:tc>
          <w:tcPr>
            <w:tcW w:w="3005" w:type="dxa"/>
          </w:tcPr>
          <w:p w14:paraId="108D225D" w14:textId="3AD0D0ED" w:rsidR="00A800D8" w:rsidRPr="00D72A98" w:rsidRDefault="00A800D8" w:rsidP="004A788C">
            <w:pPr>
              <w:rPr>
                <w:rFonts w:cstheme="minorHAnsi"/>
                <w:sz w:val="24"/>
                <w:szCs w:val="24"/>
              </w:rPr>
            </w:pPr>
            <w:r w:rsidRPr="00D72A98">
              <w:rPr>
                <w:rFonts w:cstheme="minorHAnsi"/>
                <w:sz w:val="24"/>
                <w:szCs w:val="24"/>
              </w:rPr>
              <w:t>Section 23(4)</w:t>
            </w:r>
          </w:p>
        </w:tc>
        <w:tc>
          <w:tcPr>
            <w:tcW w:w="3341" w:type="dxa"/>
          </w:tcPr>
          <w:p w14:paraId="116C0116" w14:textId="36353D8F" w:rsidR="00A800D8" w:rsidRPr="00D72A98" w:rsidRDefault="00A800D8" w:rsidP="00F85CAB">
            <w:pPr>
              <w:rPr>
                <w:rFonts w:cstheme="minorHAnsi"/>
                <w:sz w:val="24"/>
                <w:szCs w:val="24"/>
              </w:rPr>
            </w:pPr>
            <w:r w:rsidRPr="00D72A98">
              <w:rPr>
                <w:rFonts w:cstheme="minorHAnsi"/>
                <w:sz w:val="24"/>
                <w:szCs w:val="24"/>
              </w:rPr>
              <w:t>This will be dealt with as part of the revision of the Strategic Housing Development legislation.</w:t>
            </w:r>
          </w:p>
        </w:tc>
      </w:tr>
      <w:tr w:rsidR="00A800D8" w:rsidRPr="008D5CFD" w14:paraId="566FCC80" w14:textId="3733AEC2" w:rsidTr="00A800D8">
        <w:tc>
          <w:tcPr>
            <w:tcW w:w="3005" w:type="dxa"/>
          </w:tcPr>
          <w:p w14:paraId="67D75BAA" w14:textId="52A89056" w:rsidR="00A800D8" w:rsidRPr="00AB6BBB" w:rsidRDefault="00A800D8" w:rsidP="00BF1F5E">
            <w:r w:rsidRPr="00D72A98">
              <w:rPr>
                <w:rFonts w:cstheme="minorHAnsi"/>
                <w:sz w:val="24"/>
                <w:szCs w:val="24"/>
              </w:rPr>
              <w:t>Planning and Development (Amendment) Act 2018</w:t>
            </w:r>
          </w:p>
        </w:tc>
        <w:tc>
          <w:tcPr>
            <w:tcW w:w="3005" w:type="dxa"/>
          </w:tcPr>
          <w:p w14:paraId="67C89202" w14:textId="77777777" w:rsidR="00A800D8" w:rsidRDefault="00A800D8" w:rsidP="004A788C">
            <w:pPr>
              <w:rPr>
                <w:rFonts w:cstheme="minorHAnsi"/>
                <w:sz w:val="24"/>
                <w:szCs w:val="24"/>
              </w:rPr>
            </w:pPr>
            <w:r w:rsidRPr="00D72A98">
              <w:rPr>
                <w:rFonts w:cstheme="minorHAnsi"/>
                <w:sz w:val="24"/>
                <w:szCs w:val="24"/>
              </w:rPr>
              <w:t xml:space="preserve">Section 40 </w:t>
            </w:r>
          </w:p>
          <w:p w14:paraId="4BE47C4C" w14:textId="61507C97" w:rsidR="00A800D8" w:rsidRPr="00D72A98" w:rsidRDefault="00A800D8" w:rsidP="004A788C">
            <w:pPr>
              <w:rPr>
                <w:rFonts w:cstheme="minorHAnsi"/>
                <w:sz w:val="24"/>
                <w:szCs w:val="24"/>
              </w:rPr>
            </w:pPr>
            <w:r w:rsidRPr="00D72A98">
              <w:rPr>
                <w:rFonts w:cstheme="minorHAnsi"/>
                <w:sz w:val="24"/>
                <w:szCs w:val="24"/>
              </w:rPr>
              <w:t>Section 42</w:t>
            </w:r>
          </w:p>
        </w:tc>
        <w:tc>
          <w:tcPr>
            <w:tcW w:w="3341" w:type="dxa"/>
          </w:tcPr>
          <w:p w14:paraId="17814CE6" w14:textId="618CBE76" w:rsidR="00A800D8" w:rsidRPr="00D72A98" w:rsidRDefault="00A800D8" w:rsidP="001E2442">
            <w:pPr>
              <w:rPr>
                <w:rFonts w:cstheme="minorHAnsi"/>
                <w:sz w:val="24"/>
                <w:szCs w:val="24"/>
              </w:rPr>
            </w:pPr>
            <w:r w:rsidRPr="00D72A98">
              <w:rPr>
                <w:rFonts w:cstheme="minorHAnsi"/>
                <w:sz w:val="24"/>
                <w:szCs w:val="24"/>
              </w:rPr>
              <w:t>Now obsolete as th</w:t>
            </w:r>
            <w:r>
              <w:rPr>
                <w:rFonts w:cstheme="minorHAnsi"/>
                <w:sz w:val="24"/>
                <w:szCs w:val="24"/>
              </w:rPr>
              <w:t>ese</w:t>
            </w:r>
            <w:r w:rsidRPr="00D72A98">
              <w:rPr>
                <w:rFonts w:cstheme="minorHAnsi"/>
                <w:sz w:val="24"/>
                <w:szCs w:val="24"/>
              </w:rPr>
              <w:t xml:space="preserve"> </w:t>
            </w:r>
            <w:r>
              <w:rPr>
                <w:rFonts w:cstheme="minorHAnsi"/>
                <w:sz w:val="24"/>
                <w:szCs w:val="24"/>
              </w:rPr>
              <w:t>were</w:t>
            </w:r>
            <w:r w:rsidRPr="00D72A98">
              <w:rPr>
                <w:rFonts w:cstheme="minorHAnsi"/>
                <w:sz w:val="24"/>
                <w:szCs w:val="24"/>
              </w:rPr>
              <w:t xml:space="preserve"> dealt with by SI 501/2018</w:t>
            </w:r>
          </w:p>
        </w:tc>
      </w:tr>
      <w:tr w:rsidR="00A800D8" w:rsidRPr="008D5CFD" w14:paraId="2E772837" w14:textId="7F934C64" w:rsidTr="00A800D8">
        <w:tc>
          <w:tcPr>
            <w:tcW w:w="3005" w:type="dxa"/>
          </w:tcPr>
          <w:p w14:paraId="785CED84" w14:textId="5E9506D8" w:rsidR="00A800D8" w:rsidRPr="00D72A98" w:rsidRDefault="00A800D8" w:rsidP="00BF1F5E">
            <w:pPr>
              <w:rPr>
                <w:rFonts w:cstheme="minorHAnsi"/>
                <w:sz w:val="24"/>
                <w:szCs w:val="24"/>
              </w:rPr>
            </w:pPr>
            <w:r w:rsidRPr="00D72A98">
              <w:rPr>
                <w:rFonts w:cstheme="minorHAnsi"/>
                <w:sz w:val="24"/>
                <w:szCs w:val="24"/>
              </w:rPr>
              <w:t>Planning and Development (Amendment) Act 2018</w:t>
            </w:r>
          </w:p>
        </w:tc>
        <w:tc>
          <w:tcPr>
            <w:tcW w:w="3005" w:type="dxa"/>
          </w:tcPr>
          <w:p w14:paraId="2010DF0F" w14:textId="1D157A5F" w:rsidR="00A800D8" w:rsidRPr="00D72A98" w:rsidRDefault="00A800D8" w:rsidP="004A788C">
            <w:pPr>
              <w:rPr>
                <w:rFonts w:cstheme="minorHAnsi"/>
                <w:sz w:val="24"/>
                <w:szCs w:val="24"/>
              </w:rPr>
            </w:pPr>
            <w:r w:rsidRPr="00D72A98">
              <w:rPr>
                <w:rFonts w:cstheme="minorHAnsi"/>
                <w:sz w:val="24"/>
                <w:szCs w:val="24"/>
              </w:rPr>
              <w:t>Section 49</w:t>
            </w:r>
          </w:p>
        </w:tc>
        <w:tc>
          <w:tcPr>
            <w:tcW w:w="3341" w:type="dxa"/>
          </w:tcPr>
          <w:p w14:paraId="424A10E6" w14:textId="1CF0E0D3" w:rsidR="00A800D8" w:rsidRPr="00D72A98" w:rsidRDefault="00A800D8" w:rsidP="00F85CAB">
            <w:pPr>
              <w:rPr>
                <w:rFonts w:cstheme="minorHAnsi"/>
                <w:sz w:val="24"/>
                <w:szCs w:val="24"/>
              </w:rPr>
            </w:pPr>
            <w:r w:rsidRPr="00D72A98">
              <w:rPr>
                <w:rFonts w:cstheme="minorHAnsi"/>
                <w:sz w:val="24"/>
                <w:szCs w:val="24"/>
              </w:rPr>
              <w:t>May be commenced in future.</w:t>
            </w:r>
          </w:p>
        </w:tc>
      </w:tr>
      <w:tr w:rsidR="00A800D8" w:rsidRPr="00D72A98" w14:paraId="54E73C7C" w14:textId="5E1E1708" w:rsidTr="00A800D8">
        <w:tc>
          <w:tcPr>
            <w:tcW w:w="3005" w:type="dxa"/>
          </w:tcPr>
          <w:p w14:paraId="57D55688" w14:textId="32356F88" w:rsidR="00A800D8" w:rsidRPr="00D72A98" w:rsidRDefault="00A800D8" w:rsidP="00BF1F5E">
            <w:pPr>
              <w:rPr>
                <w:rFonts w:cstheme="minorHAnsi"/>
                <w:sz w:val="24"/>
                <w:szCs w:val="24"/>
              </w:rPr>
            </w:pPr>
            <w:r w:rsidRPr="00D72A98">
              <w:rPr>
                <w:rFonts w:cstheme="minorHAnsi"/>
                <w:sz w:val="24"/>
                <w:szCs w:val="24"/>
              </w:rPr>
              <w:t>Water Services Act 2007</w:t>
            </w:r>
          </w:p>
        </w:tc>
        <w:tc>
          <w:tcPr>
            <w:tcW w:w="3005" w:type="dxa"/>
          </w:tcPr>
          <w:p w14:paraId="15AEC3E9" w14:textId="0BA0FE63" w:rsidR="00A800D8" w:rsidRPr="00D72A98" w:rsidRDefault="00A800D8" w:rsidP="00014C15">
            <w:pPr>
              <w:rPr>
                <w:rFonts w:cstheme="minorHAnsi"/>
                <w:color w:val="000000" w:themeColor="text1"/>
                <w:sz w:val="24"/>
                <w:szCs w:val="24"/>
              </w:rPr>
            </w:pPr>
            <w:r w:rsidRPr="00D72A98">
              <w:rPr>
                <w:rFonts w:cstheme="minorHAnsi"/>
                <w:color w:val="000000" w:themeColor="text1"/>
                <w:sz w:val="24"/>
                <w:szCs w:val="24"/>
              </w:rPr>
              <w:t>Sections 4(2), 58(2) 63-67, 69, 77-90, 92, 104, and 107(a) (part), and sch</w:t>
            </w:r>
            <w:r w:rsidR="00DF22C0">
              <w:rPr>
                <w:rFonts w:cstheme="minorHAnsi"/>
                <w:color w:val="000000" w:themeColor="text1"/>
                <w:sz w:val="24"/>
                <w:szCs w:val="24"/>
              </w:rPr>
              <w:t>edule 1 (part), and schedule 2</w:t>
            </w:r>
          </w:p>
          <w:p w14:paraId="2E65841C" w14:textId="77777777" w:rsidR="00A800D8" w:rsidRPr="00D72A98" w:rsidRDefault="00A800D8" w:rsidP="004A788C">
            <w:pPr>
              <w:rPr>
                <w:rFonts w:cstheme="minorHAnsi"/>
                <w:sz w:val="24"/>
                <w:szCs w:val="24"/>
              </w:rPr>
            </w:pPr>
          </w:p>
        </w:tc>
        <w:tc>
          <w:tcPr>
            <w:tcW w:w="3341" w:type="dxa"/>
          </w:tcPr>
          <w:p w14:paraId="596D8DC2" w14:textId="77777777" w:rsidR="00A800D8" w:rsidRPr="00D72A98" w:rsidRDefault="00A800D8" w:rsidP="00014C15">
            <w:pPr>
              <w:rPr>
                <w:rFonts w:cstheme="minorHAnsi"/>
                <w:color w:val="000000" w:themeColor="text1"/>
                <w:sz w:val="24"/>
                <w:szCs w:val="24"/>
              </w:rPr>
            </w:pPr>
            <w:r w:rsidRPr="00D72A98">
              <w:rPr>
                <w:rFonts w:cstheme="minorHAnsi"/>
                <w:color w:val="000000" w:themeColor="text1"/>
                <w:sz w:val="24"/>
                <w:szCs w:val="24"/>
              </w:rPr>
              <w:t xml:space="preserve">Water services legislation continues to be under active review in the light of the ongoing water sector transformation programme, and legislative provisions are commenced, as and when appropriate. </w:t>
            </w:r>
          </w:p>
          <w:p w14:paraId="078A04CF" w14:textId="77777777" w:rsidR="00A800D8" w:rsidRPr="00D72A98" w:rsidRDefault="00A800D8" w:rsidP="00F85CAB">
            <w:pPr>
              <w:rPr>
                <w:rFonts w:cstheme="minorHAnsi"/>
                <w:sz w:val="24"/>
                <w:szCs w:val="24"/>
              </w:rPr>
            </w:pPr>
          </w:p>
        </w:tc>
      </w:tr>
      <w:tr w:rsidR="00A800D8" w:rsidRPr="00D72A98" w14:paraId="65DE6575" w14:textId="15D7C0E1" w:rsidTr="00A800D8">
        <w:tc>
          <w:tcPr>
            <w:tcW w:w="3005" w:type="dxa"/>
          </w:tcPr>
          <w:p w14:paraId="4EAE55BB" w14:textId="535BCFC9" w:rsidR="00A800D8" w:rsidRPr="00D72A98" w:rsidRDefault="00A800D8" w:rsidP="00014C15">
            <w:pPr>
              <w:rPr>
                <w:rFonts w:cstheme="minorHAnsi"/>
                <w:sz w:val="24"/>
                <w:szCs w:val="24"/>
              </w:rPr>
            </w:pPr>
            <w:r w:rsidRPr="00D72A98">
              <w:rPr>
                <w:rFonts w:cstheme="minorHAnsi"/>
                <w:color w:val="000000" w:themeColor="text1"/>
                <w:sz w:val="24"/>
                <w:szCs w:val="24"/>
              </w:rPr>
              <w:t>Water Services Act 2013</w:t>
            </w:r>
          </w:p>
        </w:tc>
        <w:tc>
          <w:tcPr>
            <w:tcW w:w="3005" w:type="dxa"/>
          </w:tcPr>
          <w:p w14:paraId="055262D0" w14:textId="3071D754" w:rsidR="00A800D8" w:rsidRPr="00D72A98" w:rsidRDefault="00DF22C0" w:rsidP="00014C15">
            <w:pPr>
              <w:rPr>
                <w:rFonts w:cstheme="minorHAnsi"/>
                <w:color w:val="000000" w:themeColor="text1"/>
                <w:sz w:val="24"/>
                <w:szCs w:val="24"/>
              </w:rPr>
            </w:pPr>
            <w:r>
              <w:rPr>
                <w:rFonts w:cstheme="minorHAnsi"/>
                <w:color w:val="000000" w:themeColor="text1"/>
                <w:sz w:val="24"/>
                <w:szCs w:val="24"/>
              </w:rPr>
              <w:t>Sections 28 and 29</w:t>
            </w:r>
          </w:p>
          <w:p w14:paraId="111BC160" w14:textId="77777777" w:rsidR="00A800D8" w:rsidRPr="00D72A98" w:rsidRDefault="00A800D8" w:rsidP="004A788C">
            <w:pPr>
              <w:rPr>
                <w:rFonts w:cstheme="minorHAnsi"/>
                <w:sz w:val="24"/>
                <w:szCs w:val="24"/>
              </w:rPr>
            </w:pPr>
          </w:p>
        </w:tc>
        <w:tc>
          <w:tcPr>
            <w:tcW w:w="3341" w:type="dxa"/>
          </w:tcPr>
          <w:p w14:paraId="73D8C525" w14:textId="77777777" w:rsidR="00A800D8" w:rsidRPr="00D72A98" w:rsidRDefault="00A800D8" w:rsidP="00014C15">
            <w:pPr>
              <w:rPr>
                <w:rFonts w:cstheme="minorHAnsi"/>
                <w:color w:val="000000" w:themeColor="text1"/>
                <w:sz w:val="24"/>
                <w:szCs w:val="24"/>
              </w:rPr>
            </w:pPr>
            <w:r w:rsidRPr="00D72A98">
              <w:rPr>
                <w:rFonts w:cstheme="minorHAnsi"/>
                <w:color w:val="000000" w:themeColor="text1"/>
                <w:sz w:val="24"/>
                <w:szCs w:val="24"/>
              </w:rPr>
              <w:t xml:space="preserve">Water services legislation continues to be under active review in the light of the ongoing water sector transformation programme, and legislative provisions are commenced, as and when appropriate. </w:t>
            </w:r>
          </w:p>
          <w:p w14:paraId="70D63C90" w14:textId="77777777" w:rsidR="00A800D8" w:rsidRPr="00D72A98" w:rsidRDefault="00A800D8" w:rsidP="00F85CAB">
            <w:pPr>
              <w:rPr>
                <w:rFonts w:cstheme="minorHAnsi"/>
                <w:sz w:val="24"/>
                <w:szCs w:val="24"/>
              </w:rPr>
            </w:pPr>
          </w:p>
        </w:tc>
      </w:tr>
      <w:tr w:rsidR="00A800D8" w:rsidRPr="00D72A98" w14:paraId="38B5724E" w14:textId="51535563" w:rsidTr="00A800D8">
        <w:tc>
          <w:tcPr>
            <w:tcW w:w="3005" w:type="dxa"/>
          </w:tcPr>
          <w:p w14:paraId="2549823D" w14:textId="52097280" w:rsidR="00A800D8" w:rsidRPr="00D72A98" w:rsidRDefault="00A800D8" w:rsidP="00BF1F5E">
            <w:pPr>
              <w:rPr>
                <w:rFonts w:cstheme="minorHAnsi"/>
                <w:sz w:val="24"/>
                <w:szCs w:val="24"/>
              </w:rPr>
            </w:pPr>
            <w:r w:rsidRPr="00D72A98">
              <w:rPr>
                <w:rFonts w:cstheme="minorHAnsi"/>
                <w:color w:val="000000" w:themeColor="text1"/>
                <w:sz w:val="24"/>
                <w:szCs w:val="24"/>
              </w:rPr>
              <w:t>Water Services (No.2) Act 2013</w:t>
            </w:r>
          </w:p>
        </w:tc>
        <w:tc>
          <w:tcPr>
            <w:tcW w:w="3005" w:type="dxa"/>
          </w:tcPr>
          <w:p w14:paraId="10162951" w14:textId="10ED3780" w:rsidR="00A800D8" w:rsidRPr="00D72A98" w:rsidRDefault="00DF22C0" w:rsidP="004A788C">
            <w:pPr>
              <w:rPr>
                <w:rFonts w:cstheme="minorHAnsi"/>
                <w:sz w:val="24"/>
                <w:szCs w:val="24"/>
              </w:rPr>
            </w:pPr>
            <w:r>
              <w:rPr>
                <w:rFonts w:cstheme="minorHAnsi"/>
                <w:color w:val="000000" w:themeColor="text1"/>
                <w:sz w:val="24"/>
                <w:szCs w:val="24"/>
              </w:rPr>
              <w:t>Sections 4(2)(part) and 29</w:t>
            </w:r>
          </w:p>
        </w:tc>
        <w:tc>
          <w:tcPr>
            <w:tcW w:w="3341" w:type="dxa"/>
          </w:tcPr>
          <w:p w14:paraId="299AEC8F" w14:textId="77777777" w:rsidR="00A800D8" w:rsidRPr="00D72A98" w:rsidRDefault="00A800D8" w:rsidP="00E10289">
            <w:pPr>
              <w:rPr>
                <w:rFonts w:cstheme="minorHAnsi"/>
                <w:color w:val="000000" w:themeColor="text1"/>
                <w:sz w:val="24"/>
                <w:szCs w:val="24"/>
              </w:rPr>
            </w:pPr>
            <w:r w:rsidRPr="00D72A98">
              <w:rPr>
                <w:rFonts w:cstheme="minorHAnsi"/>
                <w:color w:val="000000" w:themeColor="text1"/>
                <w:sz w:val="24"/>
                <w:szCs w:val="24"/>
              </w:rPr>
              <w:t xml:space="preserve">Water services legislation continues to be under active review in the light of the ongoing water sector transformation programme, and legislative provisions are commenced, as and when appropriate. </w:t>
            </w:r>
          </w:p>
          <w:p w14:paraId="3D3BC305" w14:textId="77777777" w:rsidR="00A800D8" w:rsidRPr="00D72A98" w:rsidRDefault="00A800D8" w:rsidP="00F85CAB">
            <w:pPr>
              <w:rPr>
                <w:rFonts w:cstheme="minorHAnsi"/>
                <w:sz w:val="24"/>
                <w:szCs w:val="24"/>
              </w:rPr>
            </w:pPr>
          </w:p>
        </w:tc>
      </w:tr>
      <w:tr w:rsidR="00A800D8" w:rsidRPr="00D72A98" w14:paraId="6BB5A92A" w14:textId="421EC14D" w:rsidTr="00A800D8">
        <w:tc>
          <w:tcPr>
            <w:tcW w:w="3005" w:type="dxa"/>
          </w:tcPr>
          <w:p w14:paraId="6AFB0BE8" w14:textId="77777777" w:rsidR="00A800D8" w:rsidRPr="00D72A98" w:rsidRDefault="00A800D8" w:rsidP="00E10289">
            <w:pPr>
              <w:jc w:val="both"/>
              <w:rPr>
                <w:rFonts w:cstheme="minorHAnsi"/>
                <w:sz w:val="24"/>
                <w:szCs w:val="24"/>
              </w:rPr>
            </w:pPr>
            <w:r w:rsidRPr="00D72A98">
              <w:rPr>
                <w:rFonts w:cstheme="minorHAnsi"/>
                <w:sz w:val="24"/>
                <w:szCs w:val="24"/>
              </w:rPr>
              <w:lastRenderedPageBreak/>
              <w:t>Water Services Act 2017</w:t>
            </w:r>
          </w:p>
          <w:p w14:paraId="1C240C0D" w14:textId="77777777" w:rsidR="00A800D8" w:rsidRPr="00D72A98" w:rsidRDefault="00A800D8" w:rsidP="00BF1F5E">
            <w:pPr>
              <w:rPr>
                <w:rFonts w:cstheme="minorHAnsi"/>
                <w:sz w:val="24"/>
                <w:szCs w:val="24"/>
              </w:rPr>
            </w:pPr>
          </w:p>
        </w:tc>
        <w:tc>
          <w:tcPr>
            <w:tcW w:w="3005" w:type="dxa"/>
          </w:tcPr>
          <w:p w14:paraId="6136DEC1" w14:textId="1B6B5B6D" w:rsidR="00A800D8" w:rsidRPr="00D72A98" w:rsidRDefault="00A800D8" w:rsidP="00E10289">
            <w:pPr>
              <w:rPr>
                <w:rFonts w:cstheme="minorHAnsi"/>
                <w:color w:val="000000"/>
                <w:sz w:val="24"/>
                <w:szCs w:val="24"/>
              </w:rPr>
            </w:pPr>
            <w:r w:rsidRPr="00D72A98">
              <w:rPr>
                <w:rFonts w:cstheme="minorHAnsi"/>
                <w:color w:val="000000"/>
                <w:sz w:val="24"/>
                <w:szCs w:val="24"/>
              </w:rPr>
              <w:t>Sections 5(1)(b</w:t>
            </w:r>
            <w:r w:rsidRPr="00D72A98">
              <w:rPr>
                <w:rFonts w:cstheme="minorHAnsi"/>
                <w:i/>
                <w:iCs/>
                <w:color w:val="000000"/>
                <w:sz w:val="24"/>
                <w:szCs w:val="24"/>
              </w:rPr>
              <w:t>)</w:t>
            </w:r>
            <w:r w:rsidRPr="00D72A98">
              <w:rPr>
                <w:rFonts w:cstheme="minorHAnsi"/>
                <w:color w:val="000000"/>
                <w:sz w:val="24"/>
                <w:szCs w:val="24"/>
              </w:rPr>
              <w:t xml:space="preserve">(IV) and 23 </w:t>
            </w:r>
          </w:p>
          <w:p w14:paraId="2DEF1F7F" w14:textId="77777777" w:rsidR="00A800D8" w:rsidRPr="00D72A98" w:rsidRDefault="00A800D8" w:rsidP="004A788C">
            <w:pPr>
              <w:rPr>
                <w:rFonts w:cstheme="minorHAnsi"/>
                <w:sz w:val="24"/>
                <w:szCs w:val="24"/>
              </w:rPr>
            </w:pPr>
          </w:p>
        </w:tc>
        <w:tc>
          <w:tcPr>
            <w:tcW w:w="3341" w:type="dxa"/>
          </w:tcPr>
          <w:p w14:paraId="49981DA2" w14:textId="2D526472" w:rsidR="00A800D8" w:rsidRPr="00D72A98" w:rsidRDefault="00A800D8" w:rsidP="001E2442">
            <w:pPr>
              <w:rPr>
                <w:rFonts w:cstheme="minorHAnsi"/>
                <w:sz w:val="24"/>
                <w:szCs w:val="24"/>
              </w:rPr>
            </w:pPr>
            <w:r w:rsidRPr="00D72A98">
              <w:rPr>
                <w:rFonts w:cstheme="minorHAnsi"/>
                <w:color w:val="000000" w:themeColor="text1"/>
                <w:sz w:val="24"/>
                <w:szCs w:val="24"/>
              </w:rPr>
              <w:t xml:space="preserve">Water services legislation continues to be under active review in the light of the ongoing water sector transformation programme, and legislative provisions are commenced, as and when appropriate. </w:t>
            </w:r>
          </w:p>
        </w:tc>
      </w:tr>
      <w:tr w:rsidR="00A800D8" w:rsidRPr="00D72A98" w14:paraId="740D1017" w14:textId="77777777" w:rsidTr="00A800D8">
        <w:tc>
          <w:tcPr>
            <w:tcW w:w="3005" w:type="dxa"/>
          </w:tcPr>
          <w:p w14:paraId="69E92E34" w14:textId="77777777" w:rsidR="00A800D8" w:rsidRPr="00D72A98" w:rsidRDefault="00A800D8" w:rsidP="0087552B">
            <w:pPr>
              <w:rPr>
                <w:rFonts w:cstheme="minorHAnsi"/>
                <w:sz w:val="24"/>
              </w:rPr>
            </w:pPr>
            <w:r w:rsidRPr="00D72A98">
              <w:rPr>
                <w:rFonts w:cstheme="minorHAnsi"/>
                <w:sz w:val="24"/>
              </w:rPr>
              <w:t>Valuation Acts 2001-2020</w:t>
            </w:r>
          </w:p>
          <w:p w14:paraId="7DA0CDE7" w14:textId="319E837E" w:rsidR="00A800D8" w:rsidRPr="00D72A98" w:rsidRDefault="00A800D8" w:rsidP="0087552B">
            <w:pPr>
              <w:jc w:val="both"/>
              <w:rPr>
                <w:rFonts w:cstheme="minorHAnsi"/>
                <w:sz w:val="24"/>
              </w:rPr>
            </w:pPr>
            <w:r w:rsidRPr="00D72A98">
              <w:rPr>
                <w:rFonts w:cstheme="minorHAnsi"/>
                <w:sz w:val="24"/>
              </w:rPr>
              <w:t>[Change provided for in Section 14 of the Valuation (Amendment) Act 2015]</w:t>
            </w:r>
          </w:p>
        </w:tc>
        <w:tc>
          <w:tcPr>
            <w:tcW w:w="3005" w:type="dxa"/>
          </w:tcPr>
          <w:p w14:paraId="1D0824D6" w14:textId="6EC7E240" w:rsidR="00A800D8" w:rsidRPr="00D72A98" w:rsidRDefault="00A800D8" w:rsidP="00E10289">
            <w:pPr>
              <w:rPr>
                <w:rFonts w:cstheme="minorHAnsi"/>
                <w:sz w:val="24"/>
              </w:rPr>
            </w:pPr>
            <w:r w:rsidRPr="00D72A98">
              <w:rPr>
                <w:rFonts w:cstheme="minorHAnsi"/>
                <w:sz w:val="24"/>
              </w:rPr>
              <w:t>Update</w:t>
            </w:r>
            <w:bookmarkStart w:id="0" w:name="_GoBack"/>
            <w:bookmarkEnd w:id="0"/>
            <w:r w:rsidRPr="00D72A98">
              <w:rPr>
                <w:rFonts w:cstheme="minorHAnsi"/>
                <w:sz w:val="24"/>
              </w:rPr>
              <w:t>d Section 28(5)</w:t>
            </w:r>
          </w:p>
        </w:tc>
        <w:tc>
          <w:tcPr>
            <w:tcW w:w="3341" w:type="dxa"/>
          </w:tcPr>
          <w:p w14:paraId="7477D071" w14:textId="77777777" w:rsidR="00A800D8" w:rsidRPr="00D72A98" w:rsidRDefault="00A800D8" w:rsidP="0087552B">
            <w:pPr>
              <w:rPr>
                <w:rFonts w:cstheme="minorHAnsi"/>
                <w:sz w:val="24"/>
              </w:rPr>
            </w:pPr>
            <w:r w:rsidRPr="00D72A98">
              <w:rPr>
                <w:rFonts w:cstheme="minorHAnsi"/>
                <w:sz w:val="24"/>
              </w:rPr>
              <w:t xml:space="preserve">Updated Section 28(5) provides for an application for a valuation of property, known as a revision application, to be processed within 6 months of a valid application being made to the Commissioner of Valuation, including payment of fee prescribed. This is to progress from current position whereby applications are processed within 6 months of the appointment of a revision manager to look after the application. </w:t>
            </w:r>
          </w:p>
          <w:p w14:paraId="33847FA1" w14:textId="77777777" w:rsidR="00A800D8" w:rsidRPr="00D72A98" w:rsidRDefault="00A800D8" w:rsidP="0087552B">
            <w:pPr>
              <w:rPr>
                <w:rFonts w:cstheme="minorHAnsi"/>
                <w:sz w:val="24"/>
              </w:rPr>
            </w:pPr>
          </w:p>
          <w:p w14:paraId="5C79DA6A" w14:textId="3EBD0EF7" w:rsidR="00A800D8" w:rsidRPr="00D72A98" w:rsidRDefault="00A800D8" w:rsidP="00F55220">
            <w:pPr>
              <w:rPr>
                <w:rFonts w:cstheme="minorHAnsi"/>
                <w:sz w:val="24"/>
              </w:rPr>
            </w:pPr>
            <w:r w:rsidRPr="00D72A98">
              <w:rPr>
                <w:rFonts w:cstheme="minorHAnsi"/>
                <w:sz w:val="24"/>
              </w:rPr>
              <w:t>Commencement requires the clearance of arrears of casework which is currently underway. Commencement is scheduled to take place before 31 December 2021.</w:t>
            </w:r>
          </w:p>
        </w:tc>
      </w:tr>
      <w:tr w:rsidR="00A404D2" w:rsidRPr="00A404D2" w14:paraId="36AE09E3" w14:textId="77777777" w:rsidTr="00A800D8">
        <w:tc>
          <w:tcPr>
            <w:tcW w:w="3005" w:type="dxa"/>
          </w:tcPr>
          <w:p w14:paraId="4AB7A7D7" w14:textId="4CD40EE6" w:rsidR="004403B9" w:rsidRPr="00A404D2" w:rsidRDefault="00A404D2" w:rsidP="0087552B">
            <w:pPr>
              <w:rPr>
                <w:rFonts w:cstheme="minorHAnsi"/>
                <w:color w:val="000000" w:themeColor="text1"/>
                <w:sz w:val="24"/>
                <w:szCs w:val="24"/>
              </w:rPr>
            </w:pPr>
            <w:r w:rsidRPr="00A404D2">
              <w:rPr>
                <w:color w:val="000000" w:themeColor="text1"/>
                <w:sz w:val="24"/>
                <w:szCs w:val="24"/>
              </w:rPr>
              <w:t>Planning and Development (Amendment) Act 2021</w:t>
            </w:r>
          </w:p>
        </w:tc>
        <w:tc>
          <w:tcPr>
            <w:tcW w:w="3005" w:type="dxa"/>
          </w:tcPr>
          <w:p w14:paraId="02AEC1BE" w14:textId="3A99BCE7" w:rsidR="004403B9" w:rsidRPr="00A404D2" w:rsidRDefault="00A404D2" w:rsidP="00E10289">
            <w:pPr>
              <w:rPr>
                <w:rFonts w:cstheme="minorHAnsi"/>
                <w:color w:val="000000" w:themeColor="text1"/>
                <w:sz w:val="24"/>
                <w:szCs w:val="24"/>
              </w:rPr>
            </w:pPr>
            <w:r w:rsidRPr="00A404D2">
              <w:rPr>
                <w:color w:val="000000" w:themeColor="text1"/>
                <w:sz w:val="24"/>
                <w:szCs w:val="24"/>
              </w:rPr>
              <w:t>Sections 1 to 11 (the entire Act)</w:t>
            </w:r>
          </w:p>
        </w:tc>
        <w:tc>
          <w:tcPr>
            <w:tcW w:w="3341" w:type="dxa"/>
          </w:tcPr>
          <w:p w14:paraId="4BD795F6" w14:textId="77777777" w:rsidR="00A404D2" w:rsidRPr="00A404D2" w:rsidRDefault="00A404D2" w:rsidP="00A404D2">
            <w:pPr>
              <w:rPr>
                <w:color w:val="000000" w:themeColor="text1"/>
                <w:sz w:val="24"/>
                <w:szCs w:val="24"/>
                <w:lang w:eastAsia="en-IE"/>
              </w:rPr>
            </w:pPr>
            <w:r w:rsidRPr="00A404D2">
              <w:rPr>
                <w:color w:val="000000" w:themeColor="text1"/>
                <w:sz w:val="24"/>
                <w:szCs w:val="24"/>
                <w:lang w:eastAsia="en-IE"/>
              </w:rPr>
              <w:t xml:space="preserve">This Act was enacted by the President on 10 July 2021. </w:t>
            </w:r>
          </w:p>
          <w:p w14:paraId="28A0DD27" w14:textId="77777777" w:rsidR="00A404D2" w:rsidRPr="00A404D2" w:rsidRDefault="00A404D2" w:rsidP="00A404D2">
            <w:pPr>
              <w:rPr>
                <w:color w:val="000000" w:themeColor="text1"/>
                <w:sz w:val="24"/>
                <w:szCs w:val="24"/>
                <w:lang w:eastAsia="en-IE"/>
              </w:rPr>
            </w:pPr>
            <w:r w:rsidRPr="00A404D2">
              <w:rPr>
                <w:color w:val="000000" w:themeColor="text1"/>
                <w:sz w:val="24"/>
                <w:szCs w:val="24"/>
                <w:lang w:eastAsia="en-IE"/>
              </w:rPr>
              <w:t xml:space="preserve">Sections 1 to 6 and 8 to 11 will be commenced as soon as possible following publication of the Act. </w:t>
            </w:r>
          </w:p>
          <w:p w14:paraId="3E50F264" w14:textId="77777777" w:rsidR="00A404D2" w:rsidRPr="00A404D2" w:rsidRDefault="00A404D2" w:rsidP="00A404D2">
            <w:pPr>
              <w:rPr>
                <w:color w:val="000000" w:themeColor="text1"/>
                <w:sz w:val="24"/>
                <w:szCs w:val="24"/>
                <w:lang w:eastAsia="en-IE"/>
              </w:rPr>
            </w:pPr>
          </w:p>
          <w:p w14:paraId="054B5950" w14:textId="426FBC45" w:rsidR="004403B9" w:rsidRPr="00A404D2" w:rsidRDefault="00A404D2" w:rsidP="00A404D2">
            <w:pPr>
              <w:rPr>
                <w:rFonts w:cstheme="minorHAnsi"/>
                <w:color w:val="000000" w:themeColor="text1"/>
                <w:sz w:val="24"/>
                <w:szCs w:val="24"/>
              </w:rPr>
            </w:pPr>
            <w:r w:rsidRPr="00A404D2">
              <w:rPr>
                <w:color w:val="000000" w:themeColor="text1"/>
                <w:sz w:val="24"/>
                <w:szCs w:val="24"/>
                <w:lang w:eastAsia="en-IE"/>
              </w:rPr>
              <w:t xml:space="preserve">Supplementary regulations are required with respect to Section 7 of this Act, to amend the Planning and Development Regulations 2001. Drafting of these supplementary regulations is substantially complete and it is envisaged that Section 7 will be commenced later this month, with the supplementary </w:t>
            </w:r>
            <w:r w:rsidRPr="00A404D2">
              <w:rPr>
                <w:color w:val="000000" w:themeColor="text1"/>
                <w:sz w:val="24"/>
                <w:szCs w:val="24"/>
                <w:lang w:eastAsia="en-IE"/>
              </w:rPr>
              <w:lastRenderedPageBreak/>
              <w:t>regulations to come into operation at the same time</w:t>
            </w:r>
          </w:p>
        </w:tc>
      </w:tr>
    </w:tbl>
    <w:p w14:paraId="2BD96A4B" w14:textId="77777777" w:rsidR="00F74A4A" w:rsidRPr="008D5CFD" w:rsidRDefault="00F74A4A">
      <w:pPr>
        <w:rPr>
          <w:rFonts w:ascii="Calibri" w:hAnsi="Calibri"/>
          <w:sz w:val="24"/>
        </w:rPr>
      </w:pPr>
    </w:p>
    <w:sectPr w:rsidR="00F74A4A" w:rsidRPr="008D5CFD" w:rsidSect="004F4D19">
      <w:footerReference w:type="default" r:id="rId11"/>
      <w:type w:val="continuous"/>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56BE" w14:textId="77777777" w:rsidR="002903B5" w:rsidRDefault="002903B5" w:rsidP="00F55220">
      <w:pPr>
        <w:spacing w:after="0" w:line="240" w:lineRule="auto"/>
      </w:pPr>
      <w:r>
        <w:separator/>
      </w:r>
    </w:p>
  </w:endnote>
  <w:endnote w:type="continuationSeparator" w:id="0">
    <w:p w14:paraId="427FECF6" w14:textId="77777777" w:rsidR="002903B5" w:rsidRDefault="002903B5" w:rsidP="00F55220">
      <w:pPr>
        <w:spacing w:after="0" w:line="240" w:lineRule="auto"/>
      </w:pPr>
      <w:r>
        <w:continuationSeparator/>
      </w:r>
    </w:p>
  </w:endnote>
  <w:endnote w:type="continuationNotice" w:id="1">
    <w:p w14:paraId="1B1CB15B" w14:textId="77777777" w:rsidR="002903B5" w:rsidRDefault="002903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1728091"/>
      <w:docPartObj>
        <w:docPartGallery w:val="Page Numbers (Bottom of Page)"/>
        <w:docPartUnique/>
      </w:docPartObj>
    </w:sdtPr>
    <w:sdtEndPr>
      <w:rPr>
        <w:noProof/>
      </w:rPr>
    </w:sdtEndPr>
    <w:sdtContent>
      <w:p w14:paraId="3DB36C37" w14:textId="7A651F05" w:rsidR="00FC310A" w:rsidRDefault="00FC310A">
        <w:pPr>
          <w:pStyle w:val="Footer"/>
          <w:jc w:val="right"/>
        </w:pPr>
        <w:r>
          <w:fldChar w:fldCharType="begin"/>
        </w:r>
        <w:r>
          <w:instrText xml:space="preserve"> PAGE   \* MERGEFORMAT </w:instrText>
        </w:r>
        <w:r>
          <w:fldChar w:fldCharType="separate"/>
        </w:r>
        <w:r w:rsidR="00A404D2">
          <w:rPr>
            <w:noProof/>
          </w:rPr>
          <w:t>11</w:t>
        </w:r>
        <w:r>
          <w:rPr>
            <w:noProof/>
          </w:rPr>
          <w:fldChar w:fldCharType="end"/>
        </w:r>
      </w:p>
    </w:sdtContent>
  </w:sdt>
  <w:p w14:paraId="34AA13DC" w14:textId="77777777" w:rsidR="00FC310A" w:rsidRDefault="00FC3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0596" w14:textId="77777777" w:rsidR="002903B5" w:rsidRDefault="002903B5" w:rsidP="00F55220">
      <w:pPr>
        <w:spacing w:after="0" w:line="240" w:lineRule="auto"/>
      </w:pPr>
      <w:r>
        <w:separator/>
      </w:r>
    </w:p>
  </w:footnote>
  <w:footnote w:type="continuationSeparator" w:id="0">
    <w:p w14:paraId="38A176C2" w14:textId="77777777" w:rsidR="002903B5" w:rsidRDefault="002903B5" w:rsidP="00F55220">
      <w:pPr>
        <w:spacing w:after="0" w:line="240" w:lineRule="auto"/>
      </w:pPr>
      <w:r>
        <w:continuationSeparator/>
      </w:r>
    </w:p>
  </w:footnote>
  <w:footnote w:type="continuationNotice" w:id="1">
    <w:p w14:paraId="65736BCA" w14:textId="77777777" w:rsidR="002903B5" w:rsidRDefault="002903B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76E14"/>
    <w:multiLevelType w:val="hybridMultilevel"/>
    <w:tmpl w:val="8B4C42B8"/>
    <w:lvl w:ilvl="0" w:tplc="687E0288">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0CB4626"/>
    <w:multiLevelType w:val="hybridMultilevel"/>
    <w:tmpl w:val="AD808932"/>
    <w:lvl w:ilvl="0" w:tplc="9E92C0EC">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11"/>
    <w:rsid w:val="00014C15"/>
    <w:rsid w:val="00026F11"/>
    <w:rsid w:val="00053904"/>
    <w:rsid w:val="00065EB6"/>
    <w:rsid w:val="000A4764"/>
    <w:rsid w:val="000A5F26"/>
    <w:rsid w:val="000E6C4B"/>
    <w:rsid w:val="000F691D"/>
    <w:rsid w:val="00141AAD"/>
    <w:rsid w:val="00141E76"/>
    <w:rsid w:val="00155D22"/>
    <w:rsid w:val="001C2E9F"/>
    <w:rsid w:val="001C3923"/>
    <w:rsid w:val="001E2442"/>
    <w:rsid w:val="001F42B1"/>
    <w:rsid w:val="0023358D"/>
    <w:rsid w:val="002903B5"/>
    <w:rsid w:val="002A4BCF"/>
    <w:rsid w:val="002A7BD6"/>
    <w:rsid w:val="002F158B"/>
    <w:rsid w:val="002F3E71"/>
    <w:rsid w:val="00314CEB"/>
    <w:rsid w:val="003150FF"/>
    <w:rsid w:val="003946CE"/>
    <w:rsid w:val="003E2A56"/>
    <w:rsid w:val="003F077D"/>
    <w:rsid w:val="00406789"/>
    <w:rsid w:val="004403B9"/>
    <w:rsid w:val="004954A2"/>
    <w:rsid w:val="004A4EB0"/>
    <w:rsid w:val="004A788C"/>
    <w:rsid w:val="004F4D19"/>
    <w:rsid w:val="00506A22"/>
    <w:rsid w:val="00521529"/>
    <w:rsid w:val="00557210"/>
    <w:rsid w:val="005736CB"/>
    <w:rsid w:val="005A1338"/>
    <w:rsid w:val="005B133B"/>
    <w:rsid w:val="005B4988"/>
    <w:rsid w:val="005D71E6"/>
    <w:rsid w:val="005E30B2"/>
    <w:rsid w:val="005E3459"/>
    <w:rsid w:val="005E5130"/>
    <w:rsid w:val="00656094"/>
    <w:rsid w:val="00670B1B"/>
    <w:rsid w:val="006878CF"/>
    <w:rsid w:val="006912D9"/>
    <w:rsid w:val="006E6556"/>
    <w:rsid w:val="00752609"/>
    <w:rsid w:val="007733BA"/>
    <w:rsid w:val="007C00BC"/>
    <w:rsid w:val="00800547"/>
    <w:rsid w:val="00815DFC"/>
    <w:rsid w:val="00846251"/>
    <w:rsid w:val="00872323"/>
    <w:rsid w:val="0087552B"/>
    <w:rsid w:val="0088641F"/>
    <w:rsid w:val="0089483A"/>
    <w:rsid w:val="008B6C92"/>
    <w:rsid w:val="008C3106"/>
    <w:rsid w:val="008D2679"/>
    <w:rsid w:val="008D5CFD"/>
    <w:rsid w:val="008E0A2F"/>
    <w:rsid w:val="00901245"/>
    <w:rsid w:val="00915BCA"/>
    <w:rsid w:val="00976BCC"/>
    <w:rsid w:val="00982235"/>
    <w:rsid w:val="009E6CA4"/>
    <w:rsid w:val="009F2637"/>
    <w:rsid w:val="009F2E66"/>
    <w:rsid w:val="00A26E3C"/>
    <w:rsid w:val="00A37A51"/>
    <w:rsid w:val="00A404D2"/>
    <w:rsid w:val="00A5322E"/>
    <w:rsid w:val="00A800D8"/>
    <w:rsid w:val="00A94D34"/>
    <w:rsid w:val="00AA5683"/>
    <w:rsid w:val="00AC5642"/>
    <w:rsid w:val="00AD009B"/>
    <w:rsid w:val="00AE3EF7"/>
    <w:rsid w:val="00AE4714"/>
    <w:rsid w:val="00B0285C"/>
    <w:rsid w:val="00B03622"/>
    <w:rsid w:val="00B07CC3"/>
    <w:rsid w:val="00B20745"/>
    <w:rsid w:val="00B2583C"/>
    <w:rsid w:val="00B63B82"/>
    <w:rsid w:val="00B8731C"/>
    <w:rsid w:val="00B94C21"/>
    <w:rsid w:val="00BA2F53"/>
    <w:rsid w:val="00BB6842"/>
    <w:rsid w:val="00BF1F5E"/>
    <w:rsid w:val="00C15433"/>
    <w:rsid w:val="00C25D55"/>
    <w:rsid w:val="00C32817"/>
    <w:rsid w:val="00C843A0"/>
    <w:rsid w:val="00C94AF8"/>
    <w:rsid w:val="00CB5CF4"/>
    <w:rsid w:val="00CF0D8A"/>
    <w:rsid w:val="00D216F6"/>
    <w:rsid w:val="00D30D72"/>
    <w:rsid w:val="00D56954"/>
    <w:rsid w:val="00D67119"/>
    <w:rsid w:val="00D7046D"/>
    <w:rsid w:val="00D72A98"/>
    <w:rsid w:val="00D95537"/>
    <w:rsid w:val="00DA03EC"/>
    <w:rsid w:val="00DC07B8"/>
    <w:rsid w:val="00DD7772"/>
    <w:rsid w:val="00DE38DB"/>
    <w:rsid w:val="00DF22C0"/>
    <w:rsid w:val="00E10289"/>
    <w:rsid w:val="00E37F3D"/>
    <w:rsid w:val="00EC17BA"/>
    <w:rsid w:val="00ED7C64"/>
    <w:rsid w:val="00EE6650"/>
    <w:rsid w:val="00EF5819"/>
    <w:rsid w:val="00F039CF"/>
    <w:rsid w:val="00F35173"/>
    <w:rsid w:val="00F55220"/>
    <w:rsid w:val="00F55746"/>
    <w:rsid w:val="00F7213B"/>
    <w:rsid w:val="00F74A4A"/>
    <w:rsid w:val="00F85CAB"/>
    <w:rsid w:val="00FC31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69216"/>
  <w15:chartTrackingRefBased/>
  <w15:docId w15:val="{E00FF79F-519A-439F-B47B-E2F2716C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6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35173"/>
    <w:rPr>
      <w:sz w:val="16"/>
      <w:szCs w:val="16"/>
    </w:rPr>
  </w:style>
  <w:style w:type="paragraph" w:styleId="CommentText">
    <w:name w:val="annotation text"/>
    <w:basedOn w:val="Normal"/>
    <w:link w:val="CommentTextChar"/>
    <w:uiPriority w:val="99"/>
    <w:semiHidden/>
    <w:unhideWhenUsed/>
    <w:rsid w:val="00F35173"/>
    <w:pPr>
      <w:spacing w:line="240" w:lineRule="auto"/>
    </w:pPr>
    <w:rPr>
      <w:sz w:val="20"/>
      <w:szCs w:val="20"/>
    </w:rPr>
  </w:style>
  <w:style w:type="character" w:customStyle="1" w:styleId="CommentTextChar">
    <w:name w:val="Comment Text Char"/>
    <w:basedOn w:val="DefaultParagraphFont"/>
    <w:link w:val="CommentText"/>
    <w:uiPriority w:val="99"/>
    <w:semiHidden/>
    <w:rsid w:val="00F35173"/>
    <w:rPr>
      <w:sz w:val="20"/>
      <w:szCs w:val="20"/>
    </w:rPr>
  </w:style>
  <w:style w:type="paragraph" w:styleId="BalloonText">
    <w:name w:val="Balloon Text"/>
    <w:basedOn w:val="Normal"/>
    <w:link w:val="BalloonTextChar"/>
    <w:uiPriority w:val="99"/>
    <w:semiHidden/>
    <w:unhideWhenUsed/>
    <w:rsid w:val="00F35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73"/>
    <w:rPr>
      <w:rFonts w:ascii="Segoe UI" w:hAnsi="Segoe UI" w:cs="Segoe UI"/>
      <w:sz w:val="18"/>
      <w:szCs w:val="18"/>
    </w:rPr>
  </w:style>
  <w:style w:type="paragraph" w:styleId="Header">
    <w:name w:val="header"/>
    <w:basedOn w:val="Normal"/>
    <w:link w:val="HeaderChar"/>
    <w:uiPriority w:val="99"/>
    <w:unhideWhenUsed/>
    <w:rsid w:val="00F55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220"/>
  </w:style>
  <w:style w:type="paragraph" w:styleId="Footer">
    <w:name w:val="footer"/>
    <w:basedOn w:val="Normal"/>
    <w:link w:val="FooterChar"/>
    <w:uiPriority w:val="99"/>
    <w:unhideWhenUsed/>
    <w:rsid w:val="00F55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20"/>
  </w:style>
  <w:style w:type="paragraph" w:styleId="ListParagraph">
    <w:name w:val="List Paragraph"/>
    <w:basedOn w:val="Normal"/>
    <w:uiPriority w:val="34"/>
    <w:qFormat/>
    <w:rsid w:val="00C843A0"/>
    <w:pPr>
      <w:ind w:left="720"/>
      <w:contextualSpacing/>
    </w:pPr>
  </w:style>
  <w:style w:type="paragraph" w:styleId="CommentSubject">
    <w:name w:val="annotation subject"/>
    <w:basedOn w:val="CommentText"/>
    <w:next w:val="CommentText"/>
    <w:link w:val="CommentSubjectChar"/>
    <w:uiPriority w:val="99"/>
    <w:semiHidden/>
    <w:unhideWhenUsed/>
    <w:rsid w:val="005A1338"/>
    <w:rPr>
      <w:b/>
      <w:bCs/>
    </w:rPr>
  </w:style>
  <w:style w:type="character" w:customStyle="1" w:styleId="CommentSubjectChar">
    <w:name w:val="Comment Subject Char"/>
    <w:basedOn w:val="CommentTextChar"/>
    <w:link w:val="CommentSubject"/>
    <w:uiPriority w:val="99"/>
    <w:semiHidden/>
    <w:rsid w:val="005A13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79464">
      <w:bodyDiv w:val="1"/>
      <w:marLeft w:val="0"/>
      <w:marRight w:val="0"/>
      <w:marTop w:val="0"/>
      <w:marBottom w:val="0"/>
      <w:divBdr>
        <w:top w:val="none" w:sz="0" w:space="0" w:color="auto"/>
        <w:left w:val="none" w:sz="0" w:space="0" w:color="auto"/>
        <w:bottom w:val="none" w:sz="0" w:space="0" w:color="auto"/>
        <w:right w:val="none" w:sz="0" w:space="0" w:color="auto"/>
      </w:divBdr>
    </w:div>
    <w:div w:id="509951359">
      <w:bodyDiv w:val="1"/>
      <w:marLeft w:val="0"/>
      <w:marRight w:val="0"/>
      <w:marTop w:val="0"/>
      <w:marBottom w:val="0"/>
      <w:divBdr>
        <w:top w:val="none" w:sz="0" w:space="0" w:color="auto"/>
        <w:left w:val="none" w:sz="0" w:space="0" w:color="auto"/>
        <w:bottom w:val="none" w:sz="0" w:space="0" w:color="auto"/>
        <w:right w:val="none" w:sz="0" w:space="0" w:color="auto"/>
      </w:divBdr>
    </w:div>
    <w:div w:id="525799293">
      <w:bodyDiv w:val="1"/>
      <w:marLeft w:val="0"/>
      <w:marRight w:val="0"/>
      <w:marTop w:val="0"/>
      <w:marBottom w:val="0"/>
      <w:divBdr>
        <w:top w:val="none" w:sz="0" w:space="0" w:color="auto"/>
        <w:left w:val="none" w:sz="0" w:space="0" w:color="auto"/>
        <w:bottom w:val="none" w:sz="0" w:space="0" w:color="auto"/>
        <w:right w:val="none" w:sz="0" w:space="0" w:color="auto"/>
      </w:divBdr>
    </w:div>
    <w:div w:id="608657435">
      <w:bodyDiv w:val="1"/>
      <w:marLeft w:val="0"/>
      <w:marRight w:val="0"/>
      <w:marTop w:val="0"/>
      <w:marBottom w:val="0"/>
      <w:divBdr>
        <w:top w:val="none" w:sz="0" w:space="0" w:color="auto"/>
        <w:left w:val="none" w:sz="0" w:space="0" w:color="auto"/>
        <w:bottom w:val="none" w:sz="0" w:space="0" w:color="auto"/>
        <w:right w:val="none" w:sz="0" w:space="0" w:color="auto"/>
      </w:divBdr>
    </w:div>
    <w:div w:id="719020150">
      <w:bodyDiv w:val="1"/>
      <w:marLeft w:val="0"/>
      <w:marRight w:val="0"/>
      <w:marTop w:val="0"/>
      <w:marBottom w:val="0"/>
      <w:divBdr>
        <w:top w:val="none" w:sz="0" w:space="0" w:color="auto"/>
        <w:left w:val="none" w:sz="0" w:space="0" w:color="auto"/>
        <w:bottom w:val="none" w:sz="0" w:space="0" w:color="auto"/>
        <w:right w:val="none" w:sz="0" w:space="0" w:color="auto"/>
      </w:divBdr>
    </w:div>
    <w:div w:id="1552690903">
      <w:bodyDiv w:val="1"/>
      <w:marLeft w:val="0"/>
      <w:marRight w:val="0"/>
      <w:marTop w:val="0"/>
      <w:marBottom w:val="0"/>
      <w:divBdr>
        <w:top w:val="none" w:sz="0" w:space="0" w:color="auto"/>
        <w:left w:val="none" w:sz="0" w:space="0" w:color="auto"/>
        <w:bottom w:val="none" w:sz="0" w:space="0" w:color="auto"/>
        <w:right w:val="none" w:sz="0" w:space="0" w:color="auto"/>
      </w:divBdr>
      <w:divsChild>
        <w:div w:id="189727746">
          <w:marLeft w:val="0"/>
          <w:marRight w:val="0"/>
          <w:marTop w:val="0"/>
          <w:marBottom w:val="0"/>
          <w:divBdr>
            <w:top w:val="none" w:sz="0" w:space="0" w:color="auto"/>
            <w:left w:val="none" w:sz="0" w:space="0" w:color="auto"/>
            <w:bottom w:val="none" w:sz="0" w:space="0" w:color="auto"/>
            <w:right w:val="none" w:sz="0" w:space="0" w:color="auto"/>
          </w:divBdr>
          <w:divsChild>
            <w:div w:id="974720768">
              <w:marLeft w:val="0"/>
              <w:marRight w:val="0"/>
              <w:marTop w:val="0"/>
              <w:marBottom w:val="0"/>
              <w:divBdr>
                <w:top w:val="none" w:sz="0" w:space="0" w:color="auto"/>
                <w:left w:val="none" w:sz="0" w:space="0" w:color="auto"/>
                <w:bottom w:val="none" w:sz="0" w:space="0" w:color="auto"/>
                <w:right w:val="none" w:sz="0" w:space="0" w:color="auto"/>
              </w:divBdr>
              <w:divsChild>
                <w:div w:id="1550217769">
                  <w:marLeft w:val="0"/>
                  <w:marRight w:val="0"/>
                  <w:marTop w:val="0"/>
                  <w:marBottom w:val="0"/>
                  <w:divBdr>
                    <w:top w:val="none" w:sz="0" w:space="0" w:color="auto"/>
                    <w:left w:val="none" w:sz="0" w:space="0" w:color="auto"/>
                    <w:bottom w:val="none" w:sz="0" w:space="0" w:color="auto"/>
                    <w:right w:val="none" w:sz="0" w:space="0" w:color="auto"/>
                  </w:divBdr>
                  <w:divsChild>
                    <w:div w:id="678889588">
                      <w:marLeft w:val="0"/>
                      <w:marRight w:val="0"/>
                      <w:marTop w:val="0"/>
                      <w:marBottom w:val="0"/>
                      <w:divBdr>
                        <w:top w:val="none" w:sz="0" w:space="0" w:color="auto"/>
                        <w:left w:val="none" w:sz="0" w:space="0" w:color="auto"/>
                        <w:bottom w:val="none" w:sz="0" w:space="0" w:color="auto"/>
                        <w:right w:val="none" w:sz="0" w:space="0" w:color="auto"/>
                      </w:divBdr>
                      <w:divsChild>
                        <w:div w:id="1929345704">
                          <w:marLeft w:val="0"/>
                          <w:marRight w:val="0"/>
                          <w:marTop w:val="0"/>
                          <w:marBottom w:val="0"/>
                          <w:divBdr>
                            <w:top w:val="none" w:sz="0" w:space="0" w:color="auto"/>
                            <w:left w:val="none" w:sz="0" w:space="0" w:color="auto"/>
                            <w:bottom w:val="none" w:sz="0" w:space="0" w:color="auto"/>
                            <w:right w:val="none" w:sz="0" w:space="0" w:color="auto"/>
                          </w:divBdr>
                          <w:divsChild>
                            <w:div w:id="1745906485">
                              <w:marLeft w:val="0"/>
                              <w:marRight w:val="0"/>
                              <w:marTop w:val="0"/>
                              <w:marBottom w:val="0"/>
                              <w:divBdr>
                                <w:top w:val="none" w:sz="0" w:space="0" w:color="auto"/>
                                <w:left w:val="none" w:sz="0" w:space="0" w:color="auto"/>
                                <w:bottom w:val="none" w:sz="0" w:space="0" w:color="auto"/>
                                <w:right w:val="none" w:sz="0" w:space="0" w:color="auto"/>
                              </w:divBdr>
                              <w:divsChild>
                                <w:div w:id="1254585111">
                                  <w:marLeft w:val="0"/>
                                  <w:marRight w:val="0"/>
                                  <w:marTop w:val="0"/>
                                  <w:marBottom w:val="0"/>
                                  <w:divBdr>
                                    <w:top w:val="none" w:sz="0" w:space="0" w:color="auto"/>
                                    <w:left w:val="none" w:sz="0" w:space="0" w:color="auto"/>
                                    <w:bottom w:val="none" w:sz="0" w:space="0" w:color="auto"/>
                                    <w:right w:val="none" w:sz="0" w:space="0" w:color="auto"/>
                                  </w:divBdr>
                                  <w:divsChild>
                                    <w:div w:id="1168406585">
                                      <w:marLeft w:val="0"/>
                                      <w:marRight w:val="0"/>
                                      <w:marTop w:val="0"/>
                                      <w:marBottom w:val="0"/>
                                      <w:divBdr>
                                        <w:top w:val="none" w:sz="0" w:space="0" w:color="auto"/>
                                        <w:left w:val="none" w:sz="0" w:space="0" w:color="auto"/>
                                        <w:bottom w:val="none" w:sz="0" w:space="0" w:color="auto"/>
                                        <w:right w:val="none" w:sz="0" w:space="0" w:color="auto"/>
                                      </w:divBdr>
                                      <w:divsChild>
                                        <w:div w:id="2098863268">
                                          <w:marLeft w:val="0"/>
                                          <w:marRight w:val="0"/>
                                          <w:marTop w:val="0"/>
                                          <w:marBottom w:val="0"/>
                                          <w:divBdr>
                                            <w:top w:val="none" w:sz="0" w:space="0" w:color="auto"/>
                                            <w:left w:val="none" w:sz="0" w:space="0" w:color="auto"/>
                                            <w:bottom w:val="none" w:sz="0" w:space="0" w:color="auto"/>
                                            <w:right w:val="none" w:sz="0" w:space="0" w:color="auto"/>
                                          </w:divBdr>
                                          <w:divsChild>
                                            <w:div w:id="667173993">
                                              <w:marLeft w:val="0"/>
                                              <w:marRight w:val="0"/>
                                              <w:marTop w:val="0"/>
                                              <w:marBottom w:val="0"/>
                                              <w:divBdr>
                                                <w:top w:val="none" w:sz="0" w:space="0" w:color="auto"/>
                                                <w:left w:val="none" w:sz="0" w:space="0" w:color="auto"/>
                                                <w:bottom w:val="none" w:sz="0" w:space="0" w:color="auto"/>
                                                <w:right w:val="none" w:sz="0" w:space="0" w:color="auto"/>
                                              </w:divBdr>
                                              <w:divsChild>
                                                <w:div w:id="383145531">
                                                  <w:marLeft w:val="0"/>
                                                  <w:marRight w:val="0"/>
                                                  <w:marTop w:val="0"/>
                                                  <w:marBottom w:val="0"/>
                                                  <w:divBdr>
                                                    <w:top w:val="none" w:sz="0" w:space="0" w:color="auto"/>
                                                    <w:left w:val="none" w:sz="0" w:space="0" w:color="auto"/>
                                                    <w:bottom w:val="none" w:sz="0" w:space="0" w:color="auto"/>
                                                    <w:right w:val="none" w:sz="0" w:space="0" w:color="auto"/>
                                                  </w:divBdr>
                                                  <w:divsChild>
                                                    <w:div w:id="1811752069">
                                                      <w:marLeft w:val="0"/>
                                                      <w:marRight w:val="0"/>
                                                      <w:marTop w:val="0"/>
                                                      <w:marBottom w:val="0"/>
                                                      <w:divBdr>
                                                        <w:top w:val="none" w:sz="0" w:space="0" w:color="auto"/>
                                                        <w:left w:val="none" w:sz="0" w:space="0" w:color="auto"/>
                                                        <w:bottom w:val="none" w:sz="0" w:space="0" w:color="auto"/>
                                                        <w:right w:val="none" w:sz="0" w:space="0" w:color="auto"/>
                                                      </w:divBdr>
                                                      <w:divsChild>
                                                        <w:div w:id="831022053">
                                                          <w:marLeft w:val="0"/>
                                                          <w:marRight w:val="0"/>
                                                          <w:marTop w:val="0"/>
                                                          <w:marBottom w:val="0"/>
                                                          <w:divBdr>
                                                            <w:top w:val="none" w:sz="0" w:space="0" w:color="auto"/>
                                                            <w:left w:val="none" w:sz="0" w:space="0" w:color="auto"/>
                                                            <w:bottom w:val="none" w:sz="0" w:space="0" w:color="auto"/>
                                                            <w:right w:val="none" w:sz="0" w:space="0" w:color="auto"/>
                                                          </w:divBdr>
                                                          <w:divsChild>
                                                            <w:div w:id="813765745">
                                                              <w:marLeft w:val="0"/>
                                                              <w:marRight w:val="0"/>
                                                              <w:marTop w:val="0"/>
                                                              <w:marBottom w:val="0"/>
                                                              <w:divBdr>
                                                                <w:top w:val="none" w:sz="0" w:space="0" w:color="auto"/>
                                                                <w:left w:val="none" w:sz="0" w:space="0" w:color="auto"/>
                                                                <w:bottom w:val="none" w:sz="0" w:space="0" w:color="auto"/>
                                                                <w:right w:val="none" w:sz="0" w:space="0" w:color="auto"/>
                                                              </w:divBdr>
                                                              <w:divsChild>
                                                                <w:div w:id="984890624">
                                                                  <w:marLeft w:val="0"/>
                                                                  <w:marRight w:val="0"/>
                                                                  <w:marTop w:val="0"/>
                                                                  <w:marBottom w:val="0"/>
                                                                  <w:divBdr>
                                                                    <w:top w:val="none" w:sz="0" w:space="0" w:color="auto"/>
                                                                    <w:left w:val="none" w:sz="0" w:space="0" w:color="auto"/>
                                                                    <w:bottom w:val="none" w:sz="0" w:space="0" w:color="auto"/>
                                                                    <w:right w:val="none" w:sz="0" w:space="0" w:color="auto"/>
                                                                  </w:divBdr>
                                                                  <w:divsChild>
                                                                    <w:div w:id="949319279">
                                                                      <w:marLeft w:val="0"/>
                                                                      <w:marRight w:val="0"/>
                                                                      <w:marTop w:val="0"/>
                                                                      <w:marBottom w:val="0"/>
                                                                      <w:divBdr>
                                                                        <w:top w:val="none" w:sz="0" w:space="0" w:color="auto"/>
                                                                        <w:left w:val="none" w:sz="0" w:space="0" w:color="auto"/>
                                                                        <w:bottom w:val="none" w:sz="0" w:space="0" w:color="auto"/>
                                                                        <w:right w:val="none" w:sz="0" w:space="0" w:color="auto"/>
                                                                      </w:divBdr>
                                                                      <w:divsChild>
                                                                        <w:div w:id="955329250">
                                                                          <w:marLeft w:val="0"/>
                                                                          <w:marRight w:val="0"/>
                                                                          <w:marTop w:val="0"/>
                                                                          <w:marBottom w:val="0"/>
                                                                          <w:divBdr>
                                                                            <w:top w:val="none" w:sz="0" w:space="0" w:color="auto"/>
                                                                            <w:left w:val="none" w:sz="0" w:space="0" w:color="auto"/>
                                                                            <w:bottom w:val="none" w:sz="0" w:space="0" w:color="auto"/>
                                                                            <w:right w:val="none" w:sz="0" w:space="0" w:color="auto"/>
                                                                          </w:divBdr>
                                                                          <w:divsChild>
                                                                            <w:div w:id="463429059">
                                                                              <w:marLeft w:val="0"/>
                                                                              <w:marRight w:val="0"/>
                                                                              <w:marTop w:val="0"/>
                                                                              <w:marBottom w:val="0"/>
                                                                              <w:divBdr>
                                                                                <w:top w:val="none" w:sz="0" w:space="0" w:color="auto"/>
                                                                                <w:left w:val="none" w:sz="0" w:space="0" w:color="auto"/>
                                                                                <w:bottom w:val="none" w:sz="0" w:space="0" w:color="auto"/>
                                                                                <w:right w:val="none" w:sz="0" w:space="0" w:color="auto"/>
                                                                              </w:divBdr>
                                                                              <w:divsChild>
                                                                                <w:div w:id="1749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272521">
      <w:bodyDiv w:val="1"/>
      <w:marLeft w:val="0"/>
      <w:marRight w:val="0"/>
      <w:marTop w:val="0"/>
      <w:marBottom w:val="0"/>
      <w:divBdr>
        <w:top w:val="none" w:sz="0" w:space="0" w:color="auto"/>
        <w:left w:val="none" w:sz="0" w:space="0" w:color="auto"/>
        <w:bottom w:val="none" w:sz="0" w:space="0" w:color="auto"/>
        <w:right w:val="none" w:sz="0" w:space="0" w:color="auto"/>
      </w:divBdr>
    </w:div>
    <w:div w:id="1749571623">
      <w:bodyDiv w:val="1"/>
      <w:marLeft w:val="0"/>
      <w:marRight w:val="0"/>
      <w:marTop w:val="0"/>
      <w:marBottom w:val="0"/>
      <w:divBdr>
        <w:top w:val="none" w:sz="0" w:space="0" w:color="auto"/>
        <w:left w:val="none" w:sz="0" w:space="0" w:color="auto"/>
        <w:bottom w:val="none" w:sz="0" w:space="0" w:color="auto"/>
        <w:right w:val="none" w:sz="0" w:space="0" w:color="auto"/>
      </w:divBdr>
    </w:div>
    <w:div w:id="177597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F8D5A13473A0489F58D4B4392684FB" ma:contentTypeVersion="0" ma:contentTypeDescription="Create a new document." ma:contentTypeScope="" ma:versionID="011702e904346246396402eadfdbb08c">
  <xsd:schema xmlns:xsd="http://www.w3.org/2001/XMLSchema" xmlns:xs="http://www.w3.org/2001/XMLSchema" xmlns:p="http://schemas.microsoft.com/office/2006/metadata/properties" targetNamespace="http://schemas.microsoft.com/office/2006/metadata/properties" ma:root="true" ma:fieldsID="226f7015072421aff58052d6e660054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3D2B0-C89D-475A-9D86-E23B021B05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B3A38E9-DC37-4232-AA00-1730F33F9E9E}">
  <ds:schemaRefs>
    <ds:schemaRef ds:uri="http://schemas.microsoft.com/sharepoint/v3/contenttype/forms"/>
  </ds:schemaRefs>
</ds:datastoreItem>
</file>

<file path=customXml/itemProps3.xml><?xml version="1.0" encoding="utf-8"?>
<ds:datastoreItem xmlns:ds="http://schemas.openxmlformats.org/officeDocument/2006/customXml" ds:itemID="{76920DEA-6414-41E4-AC79-1C86517A3E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A471ED-3ADD-43D6-9677-60DCE51DF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2190</Words>
  <Characters>12485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Mulhall (Housing)</dc:creator>
  <cp:keywords/>
  <dc:description/>
  <cp:lastModifiedBy>Niamh Drew (Housing)</cp:lastModifiedBy>
  <cp:revision>3</cp:revision>
  <dcterms:created xsi:type="dcterms:W3CDTF">2021-07-14T16:39:00Z</dcterms:created>
  <dcterms:modified xsi:type="dcterms:W3CDTF">2021-07-16T10:19:00Z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0x01010008F8D5A13473A0489F58D4B4392684FB</vt:lpwstr>
  </property>
  <property fmtid="{D5CDD505-2E9C-101B-9397-08002B2CF9AE}" pid="3" name="eDocs_FileTopics">
    <vt:lpwstr/>
  </property>
  <property fmtid="{D5CDD505-2E9C-101B-9397-08002B2CF9AE}" pid="4" name="eDocs_SecurityClassification">
    <vt:lpwstr>7;#Unclassified|38981149-6ab4-492e-b035-5180b1eb9314</vt:lpwstr>
  </property>
  <property fmtid="{D5CDD505-2E9C-101B-9397-08002B2CF9AE}" pid="5" name="eDocs_DocumentTopics">
    <vt:lpwstr/>
  </property>
  <property fmtid="{D5CDD505-2E9C-101B-9397-08002B2CF9AE}" pid="6" name="eDocs_Year">
    <vt:lpwstr>23;#2020|2956df6f-614f-4357-a8f5-b167a2c64320</vt:lpwstr>
  </property>
  <property fmtid="{D5CDD505-2E9C-101B-9397-08002B2CF9AE}" pid="7" name="eDocs_SeriesSubSeries">
    <vt:lpwstr>6;#008|02020aac-78e9-4fb3-8187-314650a7a3b6</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_docset_NoMedatataSyncRequired">
    <vt:lpwstr>False</vt:lpwstr>
  </property>
</Properties>
</file>