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1" w:rsidRDefault="009007C1" w:rsidP="009007C1">
      <w:pPr>
        <w:autoSpaceDE w:val="0"/>
        <w:autoSpaceDN w:val="0"/>
        <w:adjustRightInd w:val="0"/>
        <w:spacing w:after="0" w:line="240" w:lineRule="auto"/>
        <w:rPr>
          <w:rFonts w:ascii="Tms Rmn" w:hAnsi="Tms Rmn"/>
          <w:sz w:val="24"/>
          <w:szCs w:val="24"/>
        </w:rPr>
      </w:pPr>
    </w:p>
    <w:tbl>
      <w:tblPr>
        <w:tblW w:w="5000" w:type="pct"/>
        <w:tblLayout w:type="fixed"/>
        <w:tblCellMar>
          <w:left w:w="40" w:type="dxa"/>
          <w:right w:w="40" w:type="dxa"/>
        </w:tblCellMar>
        <w:tblLook w:val="00BF" w:firstRow="1" w:lastRow="0" w:firstColumn="1" w:lastColumn="0" w:noHBand="0" w:noVBand="0"/>
      </w:tblPr>
      <w:tblGrid>
        <w:gridCol w:w="3729"/>
        <w:gridCol w:w="5585"/>
      </w:tblGrid>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Local Authority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Total CALF drawdown 2016-2019</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DCC</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€83,549,009</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Fingal</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€37,493,555</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SDCC</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€24,465,793</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DLR</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€2,819,303</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Cork City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€15,671,688</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Cork County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€18,022,684</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Galway City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€11,950,398</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Galway County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€2,360,183</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Carlow</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€6,811,031</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Kildare</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€22,053,308</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Kilkenny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€9,996,636</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Laois</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€3,881,751</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Leitrim</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€0</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Longford</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€58,260</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Meath</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€23,725,198</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Sligo</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€0</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Tipperary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€3,099,998</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Westmeath</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€332,051</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Waterford</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€6,859,860</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Cavan</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€1,139,032</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Clare</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€2,995,632</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Donegal</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€1,729,550</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Kerry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€9,769,212</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Louth</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€28,846,858</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Mayo</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€562,515</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Monaghan</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€4,412,307</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Offaly</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€1,655,516</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Roscommon</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€407,460</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Wexford</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€9,240,455</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Wicklow</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€2,230,886</w:t>
            </w:r>
          </w:p>
        </w:tc>
      </w:tr>
      <w:tr w:rsidR="009007C1">
        <w:tc>
          <w:tcPr>
            <w:tcW w:w="200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Limerick</w:t>
            </w:r>
          </w:p>
        </w:tc>
        <w:tc>
          <w:tcPr>
            <w:tcW w:w="299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€3,007,899</w:t>
            </w:r>
          </w:p>
        </w:tc>
      </w:tr>
    </w:tbl>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The CALF was introduced in 2011, with a small number of AHBs only availing of the facility from 2011 to 2013, delivering a total of 498 social homes through the scheme. It is in the last number of years that the AHB sector has moved to accessing non-Exchequer funding/borrowing. Since 2014, the number of homes delivered using CALF support has increased significantly year on year.  Delivery under CALF since 2014 is as follows: </w:t>
      </w:r>
    </w:p>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9007C1" w:rsidRDefault="009007C1" w:rsidP="009007C1">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1815"/>
        <w:gridCol w:w="1473"/>
        <w:gridCol w:w="1472"/>
        <w:gridCol w:w="1472"/>
        <w:gridCol w:w="1541"/>
        <w:gridCol w:w="1541"/>
      </w:tblGrid>
      <w:tr w:rsidR="009007C1">
        <w:tc>
          <w:tcPr>
            <w:tcW w:w="973"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CALF </w:t>
            </w:r>
          </w:p>
        </w:tc>
        <w:tc>
          <w:tcPr>
            <w:tcW w:w="79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2014</w:t>
            </w:r>
          </w:p>
        </w:tc>
        <w:tc>
          <w:tcPr>
            <w:tcW w:w="79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2015</w:t>
            </w:r>
          </w:p>
        </w:tc>
        <w:tc>
          <w:tcPr>
            <w:tcW w:w="79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2016</w:t>
            </w:r>
          </w:p>
        </w:tc>
        <w:tc>
          <w:tcPr>
            <w:tcW w:w="82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2017</w:t>
            </w:r>
          </w:p>
        </w:tc>
        <w:tc>
          <w:tcPr>
            <w:tcW w:w="82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2018</w:t>
            </w:r>
          </w:p>
        </w:tc>
      </w:tr>
      <w:tr w:rsidR="009007C1">
        <w:tc>
          <w:tcPr>
            <w:tcW w:w="973"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Homes</w:t>
            </w:r>
          </w:p>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Delivered </w:t>
            </w:r>
          </w:p>
        </w:tc>
        <w:tc>
          <w:tcPr>
            <w:tcW w:w="79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319</w:t>
            </w:r>
          </w:p>
        </w:tc>
        <w:tc>
          <w:tcPr>
            <w:tcW w:w="79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374</w:t>
            </w:r>
          </w:p>
        </w:tc>
        <w:tc>
          <w:tcPr>
            <w:tcW w:w="79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566</w:t>
            </w:r>
          </w:p>
        </w:tc>
        <w:tc>
          <w:tcPr>
            <w:tcW w:w="82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1,257</w:t>
            </w:r>
          </w:p>
        </w:tc>
        <w:tc>
          <w:tcPr>
            <w:tcW w:w="82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2,315</w:t>
            </w:r>
          </w:p>
        </w:tc>
      </w:tr>
    </w:tbl>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Owing to the nature of the CALF, delivery of new housing does not always arise in the same year as expenditure and projects delivered under phased programmes may cross a number of payment periods. </w:t>
      </w:r>
    </w:p>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In relation to the CLSS (Capital Loan and Subsidy Scheme), it operated for new delivery projects, from 1991 to 2009. It provided mortgage finance to AHBs by way of loans from the local authorities, with approximately 10,200 new social homes delivered. A breakdown of this delivery by year and by local authority, is available on my Department's website at the following link: https://www.housing.gov.ie/housing/social-housing/social-and-affordble/overall-social-housing-provision. </w:t>
      </w:r>
    </w:p>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The interest rate  is 1.50% and the vast majority of the loans between the HFA and the local authorities are for a 30-year term. The table below sets out the value and number of the loans advanced to the local authorities by the HFA and the balance owing on these loans at the end of 2019 .</w:t>
      </w:r>
    </w:p>
    <w:tbl>
      <w:tblPr>
        <w:tblW w:w="5000" w:type="pct"/>
        <w:tblLayout w:type="fixed"/>
        <w:tblCellMar>
          <w:left w:w="40" w:type="dxa"/>
          <w:right w:w="40" w:type="dxa"/>
        </w:tblCellMar>
        <w:tblLook w:val="00BF" w:firstRow="1" w:lastRow="0" w:firstColumn="1" w:lastColumn="0" w:noHBand="0" w:noVBand="0"/>
      </w:tblPr>
      <w:tblGrid>
        <w:gridCol w:w="2300"/>
        <w:gridCol w:w="1975"/>
        <w:gridCol w:w="2517"/>
        <w:gridCol w:w="2522"/>
      </w:tblGrid>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lastRenderedPageBreak/>
              <w:t>Lo</w:t>
            </w:r>
            <w:bookmarkStart w:id="0" w:name="_GoBack"/>
            <w:bookmarkEnd w:id="0"/>
            <w:r>
              <w:rPr>
                <w:rFonts w:ascii="Tms Rmn" w:hAnsi="Tms Rmn" w:cs="Tms Rmn"/>
                <w:b/>
                <w:bCs/>
                <w:color w:val="000000"/>
                <w:sz w:val="24"/>
                <w:szCs w:val="24"/>
              </w:rPr>
              <w:t>cal Authority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Amount Advanced</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Balance at 31/12/2019</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Number of Loans</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Carlow</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€26,000,076</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€12,896,226</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71</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Cavan</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€7,577,925</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€5,065,144</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46</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Clare</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€13,830,697</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€7,626,622</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89</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Cork City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€44,399,250</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€27,792,708</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71</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Cork County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€75,570,429</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€47,937,768</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160</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Donegal</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€49,697,965</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€28,034,982</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140</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Dublin City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€315,825,307</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€196,564,357</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235</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DLR</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€88,693,512</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€58,928,756</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31</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Fingal</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€107,204,110</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€72,272,113</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54</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Galway City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€19,258,415</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€10,401,364</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24</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Galway County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€20,720,741</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€11,788,488</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84</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Kerry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€24,340,074</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€15,282,054</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87</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Kildare</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€54,794,583</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€31,406,363</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190</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Kilkenny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€10,255,152</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€4,156,358</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61</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Laois</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€42,212,240</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€26,958,054</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196</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Leitrim</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€5,377,885</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€3,114,526</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9</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Limerick</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€23,341,132</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€13,422,442</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84</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Longford</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€29,274,185</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€18,604,787</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73</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Louth</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€83,222,447</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€51,262,618</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211</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Mayo</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€25,525,405</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€16,749,966</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36</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Meath</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€19,176,927</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€9,833,023</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128</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Monaghan</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€9,586,444</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€5,748,062</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49</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Offaly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€28,879,678</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€15,790,530</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142</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Roscommon</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€2,870,331</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€1,470,609</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Sligo</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€20,664,964</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€10,583,041</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100</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South Dublin</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€140,933,682</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€84,001,738</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107</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Tipperary</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€77,532,692</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€48,173,259</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155</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Waterford</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€42,058,000</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€20,293,359</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110</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Wexford</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€26,601,011</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€12,769,745</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136</w:t>
            </w:r>
          </w:p>
        </w:tc>
      </w:tr>
      <w:tr w:rsidR="009007C1" w:rsidTr="009007C1">
        <w:tc>
          <w:tcPr>
            <w:tcW w:w="1235"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Wicklow</w:t>
            </w:r>
          </w:p>
        </w:tc>
        <w:tc>
          <w:tcPr>
            <w:tcW w:w="1060"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€8,060,232</w:t>
            </w:r>
          </w:p>
        </w:tc>
        <w:tc>
          <w:tcPr>
            <w:tcW w:w="1351"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€4,047,412</w:t>
            </w:r>
          </w:p>
        </w:tc>
        <w:tc>
          <w:tcPr>
            <w:tcW w:w="1354"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26</w:t>
            </w:r>
          </w:p>
        </w:tc>
      </w:tr>
    </w:tbl>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The loans will start to expire in 2022 and the table below shows the maturity profile of loans as at end 2019.</w:t>
      </w:r>
    </w:p>
    <w:p w:rsidR="009007C1" w:rsidRDefault="009007C1" w:rsidP="009007C1">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40" w:type="dxa"/>
          <w:right w:w="40" w:type="dxa"/>
        </w:tblCellMar>
        <w:tblLook w:val="00BF" w:firstRow="1" w:lastRow="0" w:firstColumn="1" w:lastColumn="0" w:noHBand="0" w:noVBand="0"/>
      </w:tblPr>
      <w:tblGrid>
        <w:gridCol w:w="3366"/>
        <w:gridCol w:w="5948"/>
      </w:tblGrid>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lastRenderedPageBreak/>
              <w:t>Expiry   Year</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End 2019 Value of Loans Expiring Each Year</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2022</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€260,824</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2023</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€1,715,372</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2024</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€3,935,563</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2025</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€6,099,638</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2026</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€5,946,969</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2027</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€5,059,523</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2028</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€5,107,458</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2029</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€13,342,178</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2030</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€29,747,117</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2031</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€39,343,597</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2032</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€44,458,291</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2033</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€61,923,440</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2034</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€55,418,454</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2035</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€46,566,364</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2036</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€51,935,003</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2037</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€104,399,556</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2038</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€165,289,296</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2039</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€99,243,578</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2040</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€69,596,839</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2041</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€34,619,022</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2042</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€10,430,533</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2043</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€7,291,655</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2044</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€5,834,853</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2045</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€2,133,849</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2046</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€2,017,670</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2047</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€1,132,245</w:t>
            </w:r>
          </w:p>
        </w:tc>
      </w:tr>
      <w:tr w:rsidR="009007C1">
        <w:tc>
          <w:tcPr>
            <w:tcW w:w="1807"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2048</w:t>
            </w:r>
          </w:p>
        </w:tc>
        <w:tc>
          <w:tcPr>
            <w:tcW w:w="3192" w:type="pct"/>
            <w:tcBorders>
              <w:top w:val="threeDEmboss" w:sz="6" w:space="0" w:color="auto"/>
              <w:left w:val="threeDEmboss" w:sz="6" w:space="0" w:color="auto"/>
              <w:bottom w:val="threeDEmboss" w:sz="6" w:space="0" w:color="auto"/>
              <w:right w:val="threeDEmboss" w:sz="6" w:space="0" w:color="auto"/>
            </w:tcBorders>
          </w:tcPr>
          <w:p w:rsidR="009007C1" w:rsidRDefault="009007C1">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€127,585</w:t>
            </w:r>
          </w:p>
        </w:tc>
      </w:tr>
    </w:tbl>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9007C1" w:rsidRDefault="009007C1" w:rsidP="009007C1">
      <w:pPr>
        <w:autoSpaceDE w:val="0"/>
        <w:autoSpaceDN w:val="0"/>
        <w:adjustRightInd w:val="0"/>
        <w:spacing w:after="0" w:line="240" w:lineRule="auto"/>
        <w:rPr>
          <w:rFonts w:ascii="Tms Rmn" w:hAnsi="Tms Rmn" w:cs="Tms Rmn"/>
          <w:color w:val="000000"/>
          <w:sz w:val="24"/>
          <w:szCs w:val="24"/>
        </w:rPr>
      </w:pPr>
    </w:p>
    <w:p w:rsidR="009007C1" w:rsidRDefault="009007C1" w:rsidP="009007C1">
      <w:pPr>
        <w:autoSpaceDE w:val="0"/>
        <w:autoSpaceDN w:val="0"/>
        <w:adjustRightInd w:val="0"/>
        <w:spacing w:after="0" w:line="240" w:lineRule="auto"/>
        <w:rPr>
          <w:rFonts w:ascii="Tms Rmn" w:hAnsi="Tms Rmn" w:cs="Tms Rmn"/>
          <w:color w:val="000000"/>
          <w:sz w:val="24"/>
          <w:szCs w:val="24"/>
        </w:rPr>
      </w:pPr>
    </w:p>
    <w:p w:rsidR="00C10582" w:rsidRDefault="009007C1"/>
    <w:sectPr w:rsidR="00C10582" w:rsidSect="008300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C1"/>
    <w:rsid w:val="00293A60"/>
    <w:rsid w:val="009007C1"/>
    <w:rsid w:val="00E11B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E344"/>
  <w15:chartTrackingRefBased/>
  <w15:docId w15:val="{9DEDD6A9-4B8D-4AC1-8DC2-E3F3EE3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Waldron</dc:creator>
  <cp:keywords/>
  <dc:description/>
  <cp:lastModifiedBy>Caitlin Waldron</cp:lastModifiedBy>
  <cp:revision>1</cp:revision>
  <dcterms:created xsi:type="dcterms:W3CDTF">2020-03-06T10:09:00Z</dcterms:created>
  <dcterms:modified xsi:type="dcterms:W3CDTF">2020-03-06T10:10:00Z</dcterms:modified>
</cp:coreProperties>
</file>