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37F9" w14:textId="7E1F9A00" w:rsidR="005847BC" w:rsidRDefault="005847BC" w:rsidP="005847BC">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The Tax Appeals Commission has advised that the staffing vacancies within the Commission as at 3 December 2019 is presented in the following table and is reflective of the staff provisions as recommended by the </w:t>
      </w:r>
      <w:proofErr w:type="spellStart"/>
      <w:r>
        <w:rPr>
          <w:rFonts w:ascii="Tms Rmn" w:hAnsi="Tms Rmn" w:cs="Tms Rmn"/>
          <w:color w:val="000000"/>
          <w:sz w:val="24"/>
          <w:szCs w:val="24"/>
        </w:rPr>
        <w:t>O’Donoghue</w:t>
      </w:r>
      <w:proofErr w:type="spellEnd"/>
      <w:r>
        <w:rPr>
          <w:rFonts w:ascii="Tms Rmn" w:hAnsi="Tms Rmn" w:cs="Tms Rmn"/>
          <w:color w:val="000000"/>
          <w:sz w:val="24"/>
          <w:szCs w:val="24"/>
        </w:rPr>
        <w:t xml:space="preserve"> report:   </w:t>
      </w:r>
    </w:p>
    <w:p w14:paraId="038E3290" w14:textId="77777777" w:rsidR="005847BC" w:rsidRDefault="005847BC" w:rsidP="005847BC">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p>
    <w:tbl>
      <w:tblPr>
        <w:tblW w:w="0" w:type="auto"/>
        <w:tblInd w:w="-38" w:type="dxa"/>
        <w:tblLayout w:type="fixed"/>
        <w:tblCellMar>
          <w:top w:w="15" w:type="dxa"/>
          <w:left w:w="15" w:type="dxa"/>
          <w:bottom w:w="15" w:type="dxa"/>
          <w:right w:w="15" w:type="dxa"/>
        </w:tblCellMar>
        <w:tblLook w:val="00BF" w:firstRow="1" w:lastRow="0" w:firstColumn="1" w:lastColumn="0" w:noHBand="0" w:noVBand="0"/>
      </w:tblPr>
      <w:tblGrid>
        <w:gridCol w:w="1440"/>
        <w:gridCol w:w="2010"/>
        <w:gridCol w:w="2715"/>
        <w:gridCol w:w="1995"/>
        <w:gridCol w:w="3615"/>
      </w:tblGrid>
      <w:tr w:rsidR="005847BC" w14:paraId="2C0FC643"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01366F65" w14:textId="77777777" w:rsidR="005847BC" w:rsidRDefault="005847B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b/>
                <w:bCs/>
                <w:color w:val="000000"/>
                <w:sz w:val="24"/>
                <w:szCs w:val="24"/>
              </w:rPr>
              <w:t xml:space="preserve">Role </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205C2832" w14:textId="77777777" w:rsidR="005847BC" w:rsidRDefault="005847B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b/>
                <w:bCs/>
                <w:color w:val="000000"/>
                <w:sz w:val="24"/>
                <w:szCs w:val="24"/>
              </w:rPr>
              <w:t>Functional Area</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0A7EC9FB" w14:textId="77777777" w:rsidR="005847BC" w:rsidRDefault="005847B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b/>
                <w:bCs/>
                <w:color w:val="000000"/>
                <w:sz w:val="24"/>
                <w:szCs w:val="24"/>
              </w:rPr>
              <w:t>Position</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3D17498F" w14:textId="77777777" w:rsidR="005847BC" w:rsidRDefault="005847B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b/>
                <w:bCs/>
                <w:color w:val="000000"/>
                <w:sz w:val="24"/>
                <w:szCs w:val="24"/>
              </w:rPr>
              <w:t>Length of time unfilled</w:t>
            </w:r>
            <w:r>
              <w:rPr>
                <w:rFonts w:ascii="Tms Rmn" w:hAnsi="Tms Rmn" w:cs="Tms Rmn"/>
                <w:b/>
                <w:bCs/>
                <w:color w:val="000000"/>
                <w:sz w:val="24"/>
                <w:szCs w:val="24"/>
              </w:rPr>
              <w:br/>
              <w:t>(months)</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416DCAF4" w14:textId="77777777" w:rsidR="005847BC" w:rsidRDefault="005847B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b/>
                <w:bCs/>
                <w:color w:val="000000"/>
                <w:sz w:val="24"/>
                <w:szCs w:val="24"/>
              </w:rPr>
              <w:t>Note</w:t>
            </w:r>
          </w:p>
        </w:tc>
      </w:tr>
      <w:tr w:rsidR="005847BC" w14:paraId="2E4743D8"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7435C71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Chairperson</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4E23938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Head of Commission</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45DF5153"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Following legislative change, position will be:</w:t>
            </w:r>
            <w:r>
              <w:rPr>
                <w:rFonts w:ascii="Tms Rmn" w:hAnsi="Tms Rmn" w:cs="Tms Rmn"/>
                <w:color w:val="000000"/>
                <w:sz w:val="24"/>
                <w:szCs w:val="24"/>
              </w:rPr>
              <w:br/>
              <w:t>Head of Commission, Accounting Officer for Vote 10 and Appeal   Commissioner</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233FA83C"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N/A</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5C25B96C"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The role and functions of Chairperson do not yet exist in legislation. The Finance (Tax Appeals and Prospectus Regulation) Bill 2019, when enacted, will allow for the recruitment and appointment of a Chairperson to take place. </w:t>
            </w:r>
          </w:p>
        </w:tc>
      </w:tr>
      <w:tr w:rsidR="005847BC" w14:paraId="02F2B425"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7F02869D"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Temporary</w:t>
            </w:r>
            <w:r>
              <w:rPr>
                <w:rFonts w:ascii="Tms Rmn" w:hAnsi="Tms Rmn" w:cs="Tms Rmn"/>
                <w:color w:val="000000"/>
                <w:sz w:val="24"/>
                <w:szCs w:val="24"/>
              </w:rPr>
              <w:br/>
              <w:t>Commissioner</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1EF32A60"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Temporary</w:t>
            </w:r>
            <w:r>
              <w:rPr>
                <w:rFonts w:ascii="Tms Rmn" w:hAnsi="Tms Rmn" w:cs="Tms Rmn"/>
                <w:color w:val="000000"/>
                <w:sz w:val="24"/>
                <w:szCs w:val="24"/>
              </w:rPr>
              <w:br/>
              <w:t>Commissioner</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71AD69BB"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Appeals Adjudication.</w:t>
            </w:r>
            <w:r>
              <w:rPr>
                <w:rFonts w:ascii="Tms Rmn" w:hAnsi="Tms Rmn" w:cs="Tms Rmn"/>
                <w:color w:val="000000"/>
                <w:sz w:val="24"/>
                <w:szCs w:val="24"/>
              </w:rPr>
              <w:br/>
              <w:t>As prescribed by section 9 of the 2015 Act.</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24BE285E"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16</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2E1F5453"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Candidate to take up position in December 2019</w:t>
            </w:r>
          </w:p>
        </w:tc>
      </w:tr>
      <w:tr w:rsidR="005847BC" w14:paraId="1BF792CC"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33F5A790"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Assistant Principal</w:t>
            </w:r>
            <w:r>
              <w:rPr>
                <w:rFonts w:ascii="Tms Rmn" w:hAnsi="Tms Rmn" w:cs="Tms Rmn"/>
                <w:color w:val="000000"/>
                <w:sz w:val="24"/>
                <w:szCs w:val="24"/>
              </w:rPr>
              <w:br/>
              <w:t>Case Manager</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722A1B0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Assistant Principal/Case Manager</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545BB29C"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Managing the progression of Tax Appeals Cases.</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5CDFE735"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2</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14B5C29C"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Recruitment in process.</w:t>
            </w:r>
            <w:r>
              <w:rPr>
                <w:rFonts w:ascii="Tms Rmn" w:hAnsi="Tms Rmn" w:cs="Tms Rmn"/>
                <w:color w:val="000000"/>
                <w:sz w:val="24"/>
                <w:szCs w:val="24"/>
              </w:rPr>
              <w:br/>
              <w:t>Post expected to be filled in Q1 2020.</w:t>
            </w:r>
          </w:p>
        </w:tc>
      </w:tr>
      <w:tr w:rsidR="005847BC" w14:paraId="7B435388"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03C7517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HEO IT</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108CDBEF"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HEO IT</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06DE1EEB"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Supporting the IT Function in the Commission.</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1254CE9A"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16</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5A86AA62"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Recruitment difficulties encountered. Post expected to be filled early Q1 2020.</w:t>
            </w:r>
          </w:p>
        </w:tc>
      </w:tr>
      <w:tr w:rsidR="005847BC" w14:paraId="1A68F5B4"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60E871C1"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HEO (0.5)</w:t>
            </w:r>
            <w:r>
              <w:rPr>
                <w:rFonts w:ascii="Tms Rmn" w:hAnsi="Tms Rmn" w:cs="Tms Rmn"/>
                <w:color w:val="000000"/>
                <w:sz w:val="24"/>
                <w:szCs w:val="24"/>
              </w:rPr>
              <w:br/>
              <w:t>Corporate Support</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5060E1F0"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HEO Corporate Support</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2FC89273"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Supporting the provision of a Corporate Support Function.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3CA70C9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16</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6F9AA2EB"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Additional resources expected from mid- December.</w:t>
            </w:r>
          </w:p>
        </w:tc>
      </w:tr>
      <w:tr w:rsidR="005847BC" w14:paraId="51FB390C" w14:textId="77777777">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47A6B642"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EO Appeals Support</w:t>
            </w:r>
          </w:p>
        </w:tc>
        <w:tc>
          <w:tcPr>
            <w:tcW w:w="2010" w:type="dxa"/>
            <w:tcBorders>
              <w:top w:val="threeDEmboss" w:sz="6" w:space="0" w:color="auto"/>
              <w:left w:val="threeDEmboss" w:sz="6" w:space="0" w:color="auto"/>
              <w:bottom w:val="threeDEmboss" w:sz="6" w:space="0" w:color="auto"/>
              <w:right w:val="threeDEmboss" w:sz="6" w:space="0" w:color="auto"/>
            </w:tcBorders>
            <w:vAlign w:val="center"/>
          </w:tcPr>
          <w:p w14:paraId="61AAE0D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EO Appeals Support</w:t>
            </w:r>
          </w:p>
        </w:tc>
        <w:tc>
          <w:tcPr>
            <w:tcW w:w="2715" w:type="dxa"/>
            <w:tcBorders>
              <w:top w:val="threeDEmboss" w:sz="6" w:space="0" w:color="auto"/>
              <w:left w:val="threeDEmboss" w:sz="6" w:space="0" w:color="auto"/>
              <w:bottom w:val="threeDEmboss" w:sz="6" w:space="0" w:color="auto"/>
              <w:right w:val="threeDEmboss" w:sz="6" w:space="0" w:color="auto"/>
            </w:tcBorders>
            <w:vAlign w:val="center"/>
          </w:tcPr>
          <w:p w14:paraId="738049EE"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Appeals Support Team</w:t>
            </w:r>
            <w:r>
              <w:rPr>
                <w:rFonts w:ascii="Tms Rmn" w:hAnsi="Tms Rmn" w:cs="Tms Rmn"/>
                <w:color w:val="000000"/>
                <w:sz w:val="24"/>
                <w:szCs w:val="24"/>
              </w:rPr>
              <w:br/>
              <w:t>Supporting the processing of Appeals</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1BA127A6"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16</w:t>
            </w:r>
          </w:p>
        </w:tc>
        <w:tc>
          <w:tcPr>
            <w:tcW w:w="3615" w:type="dxa"/>
            <w:tcBorders>
              <w:top w:val="threeDEmboss" w:sz="6" w:space="0" w:color="auto"/>
              <w:left w:val="threeDEmboss" w:sz="6" w:space="0" w:color="auto"/>
              <w:bottom w:val="threeDEmboss" w:sz="6" w:space="0" w:color="auto"/>
              <w:right w:val="threeDEmboss" w:sz="6" w:space="0" w:color="auto"/>
            </w:tcBorders>
            <w:vAlign w:val="center"/>
          </w:tcPr>
          <w:p w14:paraId="107ACC45" w14:textId="77777777" w:rsidR="005847BC" w:rsidRDefault="005847B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Appointment expected to be made mid-December </w:t>
            </w:r>
          </w:p>
        </w:tc>
      </w:tr>
    </w:tbl>
    <w:p w14:paraId="2DC8743A" w14:textId="77777777" w:rsidR="005847BC" w:rsidRDefault="005847BC" w:rsidP="005847BC">
      <w:pPr>
        <w:autoSpaceDE w:val="0"/>
        <w:autoSpaceDN w:val="0"/>
        <w:adjustRightInd w:val="0"/>
        <w:spacing w:after="0" w:line="240" w:lineRule="auto"/>
        <w:rPr>
          <w:rFonts w:ascii="Tms Rmn" w:hAnsi="Tms Rmn" w:cs="Tms Rmn"/>
          <w:color w:val="000000"/>
          <w:sz w:val="24"/>
          <w:szCs w:val="24"/>
        </w:rPr>
      </w:pPr>
      <w:bookmarkStart w:id="0" w:name="_GoBack"/>
      <w:bookmarkEnd w:id="0"/>
    </w:p>
    <w:sectPr w:rsidR="005847BC" w:rsidSect="005847BC">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EC"/>
    <w:rsid w:val="00520885"/>
    <w:rsid w:val="005847BC"/>
    <w:rsid w:val="006C53EC"/>
    <w:rsid w:val="00B175C2"/>
    <w:rsid w:val="00B3220A"/>
    <w:rsid w:val="00D62B97"/>
    <w:rsid w:val="00FA7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DD52"/>
  <w15:chartTrackingRefBased/>
  <w15:docId w15:val="{FC75DB1C-694D-4EF0-ABAA-6C4D8B71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ÓMaolalaí</dc:creator>
  <cp:keywords/>
  <dc:description/>
  <cp:lastModifiedBy>Elma ÓMaolalaí</cp:lastModifiedBy>
  <cp:revision>2</cp:revision>
  <dcterms:created xsi:type="dcterms:W3CDTF">2019-12-05T17:22:00Z</dcterms:created>
  <dcterms:modified xsi:type="dcterms:W3CDTF">2019-12-05T17:22:00Z</dcterms:modified>
</cp:coreProperties>
</file>